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宋体" w:hAnsi="宋体" w:eastAsia="宋体" w:cs="宋体"/>
          <w:b/>
          <w:bCs/>
          <w:i w:val="0"/>
          <w:iCs w:val="0"/>
          <w:caps w:val="0"/>
          <w:color w:val="333333"/>
          <w:spacing w:val="0"/>
          <w:kern w:val="0"/>
          <w:sz w:val="24"/>
          <w:szCs w:val="24"/>
          <w:shd w:val="clear" w:fill="FFFFFF"/>
          <w:lang w:val="en-US" w:eastAsia="zh-CN" w:bidi="ar"/>
        </w:rPr>
      </w:pPr>
      <w:r>
        <w:rPr>
          <w:rFonts w:hint="eastAsia" w:ascii="方正小标宋简体" w:hAnsi="方正小标宋简体" w:eastAsia="方正小标宋简体" w:cs="Times New Roman"/>
          <w:sz w:val="40"/>
          <w:szCs w:val="40"/>
          <w:lang w:val="en-US" w:eastAsia="zh-CN"/>
        </w:rPr>
        <w:t>高安市江西省建筑陶瓷产业基地管理委员会2023年</w:t>
      </w:r>
      <w:r>
        <w:rPr>
          <w:rFonts w:hint="eastAsia" w:ascii="方正小标宋简体" w:hAnsi="方正小标宋简体" w:eastAsia="方正小标宋简体" w:cs="Times New Roman"/>
          <w:sz w:val="40"/>
          <w:szCs w:val="40"/>
        </w:rPr>
        <w:t>政府信息公开工作年度报告</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 w:hAnsi="仿宋" w:eastAsia="仿宋" w:cs="仿宋"/>
          <w:sz w:val="32"/>
          <w:szCs w:val="32"/>
        </w:rPr>
      </w:pP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年江西省建陶基地管委会坚持以习近平新时代中国特色社会主义思想</w:t>
      </w:r>
      <w:r>
        <w:rPr>
          <w:rFonts w:hint="eastAsia" w:ascii="仿宋" w:hAnsi="仿宋" w:eastAsia="仿宋" w:cs="仿宋"/>
          <w:sz w:val="32"/>
          <w:szCs w:val="32"/>
          <w:lang w:eastAsia="zh-CN"/>
        </w:rPr>
        <w:t>和党的二十大精神</w:t>
      </w:r>
      <w:r>
        <w:rPr>
          <w:rFonts w:hint="eastAsia" w:ascii="仿宋" w:hAnsi="仿宋" w:eastAsia="仿宋" w:cs="仿宋"/>
          <w:sz w:val="32"/>
          <w:szCs w:val="32"/>
        </w:rPr>
        <w:t>为指导，严格落实</w:t>
      </w:r>
      <w:r>
        <w:rPr>
          <w:rFonts w:hint="eastAsia" w:ascii="Times New Roman" w:hAnsi="仿宋_GB2312" w:eastAsia="仿宋_GB2312"/>
          <w:color w:val="000000"/>
          <w:sz w:val="32"/>
          <w:szCs w:val="32"/>
          <w:shd w:val="clear" w:color="auto" w:fill="FFFFFF"/>
        </w:rPr>
        <w:t>《中华人民共和国政府信息公开条例</w:t>
      </w:r>
      <w:r>
        <w:rPr>
          <w:rFonts w:hint="eastAsia" w:ascii="Times New Roman" w:hAnsi="仿宋_GB2312" w:eastAsia="仿宋_GB2312" w:cs="Times New Roman"/>
          <w:color w:val="000000"/>
          <w:kern w:val="2"/>
          <w:sz w:val="32"/>
          <w:szCs w:val="32"/>
          <w:shd w:val="clear" w:color="auto" w:fill="FFFFFF"/>
          <w:lang w:val="en-US" w:eastAsia="zh-CN" w:bidi="ar-SA"/>
        </w:rPr>
        <w:t>》（国务院令第711号）</w:t>
      </w:r>
      <w:r>
        <w:rPr>
          <w:rFonts w:hint="eastAsia" w:hAnsi="仿宋_GB2312"/>
          <w:color w:val="000000"/>
          <w:sz w:val="32"/>
          <w:szCs w:val="32"/>
          <w:shd w:val="clear" w:color="auto" w:fill="FFFFFF"/>
          <w:lang w:val="en-US" w:eastAsia="zh-CN"/>
        </w:rPr>
        <w:t>等文件通知</w:t>
      </w:r>
      <w:r>
        <w:rPr>
          <w:rFonts w:hint="eastAsia" w:ascii="Times New Roman" w:hAnsi="仿宋_GB2312" w:eastAsia="仿宋_GB2312"/>
          <w:color w:val="000000"/>
          <w:sz w:val="32"/>
          <w:szCs w:val="32"/>
          <w:shd w:val="clear" w:color="auto" w:fill="FFFFFF"/>
        </w:rPr>
        <w:t>要求</w:t>
      </w:r>
      <w:r>
        <w:rPr>
          <w:rFonts w:hint="eastAsia" w:ascii="仿宋" w:hAnsi="仿宋" w:eastAsia="仿宋" w:cs="仿宋"/>
          <w:sz w:val="32"/>
          <w:szCs w:val="32"/>
        </w:rPr>
        <w:t>和省、市202</w:t>
      </w:r>
      <w:r>
        <w:rPr>
          <w:rFonts w:hint="eastAsia" w:ascii="仿宋" w:hAnsi="仿宋" w:eastAsia="仿宋" w:cs="仿宋"/>
          <w:sz w:val="32"/>
          <w:szCs w:val="32"/>
          <w:lang w:val="en-US" w:eastAsia="zh-CN"/>
        </w:rPr>
        <w:t>3</w:t>
      </w:r>
      <w:r>
        <w:rPr>
          <w:rFonts w:hint="eastAsia" w:ascii="仿宋" w:hAnsi="仿宋" w:eastAsia="仿宋" w:cs="仿宋"/>
          <w:sz w:val="32"/>
          <w:szCs w:val="32"/>
        </w:rPr>
        <w:t>年关于政务公开工作的部署要求。明确目标任务，积极回应社会群众和市场主体的关注关切，拓宽政府信息公开渠道和形式，着力提升政府信息公开质量，不断增强政府信息公开实效。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w:t>
      </w:r>
      <w:r>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t>一</w:t>
      </w: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）主动公开</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firstLine="42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sz w:val="32"/>
          <w:szCs w:val="32"/>
        </w:rPr>
        <w:t>今年以来，建陶基地公开政务信息共</w:t>
      </w:r>
      <w:r>
        <w:rPr>
          <w:rFonts w:hint="eastAsia" w:ascii="仿宋" w:hAnsi="仿宋" w:eastAsia="仿宋" w:cs="仿宋"/>
          <w:sz w:val="32"/>
          <w:szCs w:val="32"/>
          <w:lang w:val="en-US" w:eastAsia="zh-CN"/>
        </w:rPr>
        <w:t>76</w:t>
      </w:r>
      <w:r>
        <w:rPr>
          <w:rFonts w:hint="eastAsia" w:ascii="仿宋" w:hAnsi="仿宋" w:eastAsia="仿宋" w:cs="仿宋"/>
          <w:sz w:val="32"/>
          <w:szCs w:val="32"/>
        </w:rPr>
        <w:t>条，其中决策公开</w:t>
      </w:r>
      <w:r>
        <w:rPr>
          <w:rFonts w:hint="eastAsia" w:ascii="仿宋" w:hAnsi="仿宋" w:eastAsia="仿宋" w:cs="仿宋"/>
          <w:sz w:val="32"/>
          <w:szCs w:val="32"/>
          <w:lang w:val="en-US" w:eastAsia="zh-CN"/>
        </w:rPr>
        <w:t>9</w:t>
      </w:r>
      <w:r>
        <w:rPr>
          <w:rFonts w:hint="eastAsia" w:ascii="仿宋" w:hAnsi="仿宋" w:eastAsia="仿宋" w:cs="仿宋"/>
          <w:sz w:val="32"/>
          <w:szCs w:val="32"/>
        </w:rPr>
        <w:t>条、执行公开</w:t>
      </w:r>
      <w:r>
        <w:rPr>
          <w:rFonts w:hint="eastAsia" w:ascii="仿宋" w:hAnsi="仿宋" w:eastAsia="仿宋" w:cs="仿宋"/>
          <w:sz w:val="32"/>
          <w:szCs w:val="32"/>
          <w:lang w:val="en-US" w:eastAsia="zh-CN"/>
        </w:rPr>
        <w:t>3</w:t>
      </w:r>
      <w:r>
        <w:rPr>
          <w:rFonts w:hint="eastAsia" w:ascii="仿宋" w:hAnsi="仿宋" w:eastAsia="仿宋" w:cs="仿宋"/>
          <w:sz w:val="32"/>
          <w:szCs w:val="32"/>
        </w:rPr>
        <w:t>条、管理公开</w:t>
      </w:r>
      <w:r>
        <w:rPr>
          <w:rFonts w:hint="eastAsia" w:ascii="仿宋" w:hAnsi="仿宋" w:eastAsia="仿宋" w:cs="仿宋"/>
          <w:sz w:val="32"/>
          <w:szCs w:val="32"/>
          <w:lang w:val="en-US" w:eastAsia="zh-CN"/>
        </w:rPr>
        <w:t>30</w:t>
      </w:r>
      <w:r>
        <w:rPr>
          <w:rFonts w:hint="eastAsia" w:ascii="仿宋" w:hAnsi="仿宋" w:eastAsia="仿宋" w:cs="仿宋"/>
          <w:sz w:val="32"/>
          <w:szCs w:val="32"/>
        </w:rPr>
        <w:t>条、六稳六保</w:t>
      </w:r>
      <w:r>
        <w:rPr>
          <w:rFonts w:hint="eastAsia" w:ascii="仿宋" w:hAnsi="仿宋" w:eastAsia="仿宋" w:cs="仿宋"/>
          <w:sz w:val="32"/>
          <w:szCs w:val="32"/>
          <w:lang w:val="en-US" w:eastAsia="zh-CN"/>
        </w:rPr>
        <w:t>4</w:t>
      </w:r>
      <w:r>
        <w:rPr>
          <w:rFonts w:hint="eastAsia" w:ascii="仿宋" w:hAnsi="仿宋" w:eastAsia="仿宋" w:cs="仿宋"/>
          <w:sz w:val="32"/>
          <w:szCs w:val="32"/>
        </w:rPr>
        <w:t>条，</w:t>
      </w:r>
      <w:r>
        <w:rPr>
          <w:rFonts w:hint="eastAsia" w:ascii="仿宋" w:hAnsi="仿宋" w:eastAsia="仿宋" w:cs="仿宋"/>
          <w:sz w:val="32"/>
          <w:szCs w:val="32"/>
          <w:lang w:eastAsia="zh-CN"/>
        </w:rPr>
        <w:t>政府信息公开年报</w:t>
      </w:r>
      <w:r>
        <w:rPr>
          <w:rFonts w:hint="eastAsia" w:ascii="仿宋" w:hAnsi="仿宋" w:eastAsia="仿宋" w:cs="仿宋"/>
          <w:sz w:val="32"/>
          <w:szCs w:val="32"/>
          <w:lang w:val="en-US" w:eastAsia="zh-CN"/>
        </w:rPr>
        <w:t>1条。</w:t>
      </w:r>
      <w:r>
        <w:rPr>
          <w:rFonts w:hint="eastAsia" w:ascii="仿宋" w:hAnsi="仿宋" w:eastAsia="仿宋" w:cs="仿宋"/>
          <w:sz w:val="32"/>
          <w:szCs w:val="32"/>
        </w:rPr>
        <w:t>无论是公开质量</w:t>
      </w:r>
      <w:r>
        <w:rPr>
          <w:rFonts w:hint="eastAsia" w:ascii="仿宋" w:hAnsi="仿宋" w:eastAsia="仿宋" w:cs="仿宋"/>
          <w:sz w:val="32"/>
          <w:szCs w:val="32"/>
          <w:lang w:eastAsia="zh-CN"/>
        </w:rPr>
        <w:t>，还是</w:t>
      </w:r>
      <w:r>
        <w:rPr>
          <w:rFonts w:hint="eastAsia" w:ascii="仿宋" w:hAnsi="仿宋" w:eastAsia="仿宋" w:cs="仿宋"/>
          <w:sz w:val="32"/>
          <w:szCs w:val="32"/>
        </w:rPr>
        <w:t>规范程度，相比上一年都有提升。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w:t>
      </w:r>
      <w:r>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t>二</w:t>
      </w: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）依申请公开</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按照“依法公开、真实公正、注重实效、有利监督”的原则，依据《条例》等，高安市政府信息公开有关文件要求，建陶基地严格遵循政府信息公开基本原则开展信息公开工作，制定完善了《建陶基地政务公开工作保障实施方案》，明确了建陶基地政府信息公开的指导思想、组织管理和发布审查、保密审查、文件解读机制，以及工作要求，为建陶基地政务公开提供保障，本年无依申请公开内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w:t>
      </w:r>
      <w:r>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t>三</w:t>
      </w: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）政府信息管理</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firstLine="42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sz w:val="32"/>
          <w:szCs w:val="32"/>
        </w:rPr>
        <w:t>建陶基地管委会将政务公开工作列入重点工作，及时调整政务信息公开工作领导小组，主要领导任组长，分管领导任副组长，其他班子成员及各部、办、站、所、分局负责同志为成员，领导小组办公室设在党政办公室，确保每条公开的政务信息准确、迅速、有效。不断规范了信息发布审核机制，加快了规范性文件清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w:t>
      </w:r>
      <w:r>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t>四</w:t>
      </w: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w:t>
      </w:r>
      <w:r>
        <w:rPr>
          <w:rFonts w:hint="eastAsia" w:ascii="楷体_GB2312" w:hAnsi="楷体_GB2312" w:eastAsia="楷体_GB2312" w:cs="楷体_GB2312"/>
          <w:b w:val="0"/>
          <w:bCs w:val="0"/>
          <w:i w:val="0"/>
          <w:caps w:val="0"/>
          <w:color w:val="000000" w:themeColor="text1"/>
          <w:spacing w:val="0"/>
          <w:sz w:val="32"/>
          <w:szCs w:val="32"/>
          <w:shd w:val="clear" w:fill="FFFFFF"/>
          <w:lang w:val="en-US" w:eastAsia="zh-CN"/>
          <w14:textFill>
            <w14:solidFill>
              <w14:schemeClr w14:val="tx1"/>
            </w14:solidFill>
          </w14:textFill>
        </w:rPr>
        <w:t>政府信息公开</w:t>
      </w: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平台建设</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firstLine="42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sz w:val="32"/>
          <w:szCs w:val="32"/>
        </w:rPr>
        <w:t>今年以来，建陶基地采取多种方式对外宣传推介形象，加强信息资源的整合与共享，在江西新闻客户端、《宜春日报》</w:t>
      </w:r>
      <w:r>
        <w:rPr>
          <w:rFonts w:hint="eastAsia" w:ascii="仿宋" w:hAnsi="仿宋" w:eastAsia="仿宋" w:cs="仿宋"/>
          <w:sz w:val="32"/>
          <w:szCs w:val="32"/>
          <w:lang w:eastAsia="zh-CN"/>
        </w:rPr>
        <w:t>《信息日报》</w:t>
      </w:r>
      <w:r>
        <w:rPr>
          <w:rFonts w:hint="eastAsia" w:ascii="仿宋" w:hAnsi="仿宋" w:eastAsia="仿宋" w:cs="仿宋"/>
          <w:sz w:val="32"/>
          <w:szCs w:val="32"/>
        </w:rPr>
        <w:t>《陶瓷信息》等刊登产业新闻和服务企业群众的报道，让更多的企业和群众了解我们。</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pPr>
      <w:r>
        <w:rPr>
          <w:rFonts w:hint="eastAsia" w:ascii="楷体_GB2312" w:hAnsi="楷体_GB2312" w:eastAsia="楷体_GB2312" w:cs="楷体_GB2312"/>
          <w:b w:val="0"/>
          <w:bCs w:val="0"/>
          <w:i w:val="0"/>
          <w:caps w:val="0"/>
          <w:color w:val="000000" w:themeColor="text1"/>
          <w:spacing w:val="0"/>
          <w:sz w:val="32"/>
          <w:szCs w:val="32"/>
          <w:shd w:val="clear" w:fill="FFFFFF"/>
          <w:lang w:eastAsia="zh-CN"/>
          <w14:textFill>
            <w14:solidFill>
              <w14:schemeClr w14:val="tx1"/>
            </w14:solidFill>
          </w14:textFill>
        </w:rPr>
        <w:t>监督保障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为提高依法公开水平，建陶基地管委会在推进政府信息公开工作的过程中，严格依法管理，加强督促检查,强化监督，使政府信息公开工作制度化和规范化。进一步强化责任，严肃纪律，保证政府信息公开工作的连续性。积极贯彻实施信息督查检查制度,严格把握公开程序，边学习、边修改、边完善，广泛接受服务对象的监督，切实做好政府信息公开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黑体" w:hAnsi="黑体" w:eastAsia="黑体" w:cs="黑体"/>
          <w:b w:val="0"/>
          <w:bCs w:val="0"/>
          <w:kern w:val="2"/>
          <w:sz w:val="32"/>
          <w:szCs w:val="32"/>
          <w:shd w:val="clear" w:color="auto" w:fill="FFFFFF"/>
          <w:lang w:val="en-US" w:eastAsia="zh-CN" w:bidi="ar-SA"/>
        </w:rPr>
      </w:pPr>
      <w:r>
        <w:rPr>
          <w:rFonts w:hint="eastAsia" w:ascii="黑体" w:hAnsi="黑体" w:eastAsia="黑体" w:cs="黑体"/>
          <w:b w:val="0"/>
          <w:bCs w:val="0"/>
          <w:kern w:val="2"/>
          <w:sz w:val="32"/>
          <w:szCs w:val="32"/>
          <w:shd w:val="clear" w:color="auto" w:fill="FFFFFF"/>
          <w:lang w:val="en-US" w:eastAsia="zh-CN" w:bidi="ar-SA"/>
        </w:rPr>
        <w:t>二、主动公开政府信息情况</w:t>
      </w:r>
    </w:p>
    <w:tbl>
      <w:tblPr>
        <w:tblStyle w:val="5"/>
        <w:tblW w:w="9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55"/>
        <w:gridCol w:w="2455"/>
        <w:gridCol w:w="2455"/>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9820"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w:t>
            </w:r>
            <w:r>
              <w:rPr>
                <w:rFonts w:hint="eastAsia" w:ascii="楷体_GB2312" w:hAnsi="楷体_GB2312" w:eastAsia="楷体_GB2312" w:cs="楷体_GB2312"/>
                <w:b/>
                <w:bCs/>
                <w:kern w:val="0"/>
                <w:sz w:val="32"/>
                <w:szCs w:val="32"/>
                <w:lang w:val="en-US" w:eastAsia="zh-CN" w:bidi="ar"/>
              </w:rPr>
              <w:t>制发件数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本年废止件数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现行有效件</w:t>
            </w:r>
            <w:r>
              <w:rPr>
                <w:rFonts w:hint="eastAsia" w:ascii="楷体_GB2312" w:hAnsi="楷体_GB2312" w:eastAsia="楷体_GB2312" w:cs="楷体_GB2312"/>
                <w:b/>
                <w:bCs/>
                <w:kern w:val="0"/>
                <w:sz w:val="32"/>
                <w:szCs w:val="32"/>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规   章</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行政规范性文件</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color w:val="000000"/>
                <w:kern w:val="0"/>
                <w:sz w:val="32"/>
                <w:szCs w:val="32"/>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color w:val="000000"/>
                <w:kern w:val="0"/>
                <w:sz w:val="32"/>
                <w:szCs w:val="32"/>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行政许可</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楷体_GB2312" w:hAnsi="楷体_GB2312" w:eastAsia="楷体_GB2312" w:cs="楷体_GB2312"/>
                <w:b w:val="0"/>
                <w:bCs w:val="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行政处罚</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cs="仿宋_GB2312"/>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行政强制</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cs="仿宋_GB2312"/>
                <w:b w:val="0"/>
                <w:bCs w:val="0"/>
                <w:color w:val="00000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6"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行政事业性收费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bCs w:val="0"/>
          <w:i w:val="0"/>
          <w:iCs w:val="0"/>
          <w:caps w:val="0"/>
          <w:color w:val="333333"/>
          <w:spacing w:val="0"/>
          <w:kern w:val="0"/>
          <w:sz w:val="32"/>
          <w:szCs w:val="32"/>
          <w:lang w:val="en-US" w:eastAsia="zh-CN" w:bidi="ar"/>
        </w:rPr>
      </w:pPr>
      <w:r>
        <w:rPr>
          <w:rFonts w:hint="eastAsia" w:ascii="黑体" w:hAnsi="黑体" w:eastAsia="黑体" w:cs="黑体"/>
          <w:b w:val="0"/>
          <w:bCs w:val="0"/>
          <w:kern w:val="2"/>
          <w:sz w:val="32"/>
          <w:szCs w:val="32"/>
          <w:shd w:val="clear" w:color="auto" w:fill="FFFFFF"/>
          <w:lang w:val="en-US" w:eastAsia="zh-CN" w:bidi="ar-SA"/>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80"/>
        <w:gridCol w:w="997"/>
        <w:gridCol w:w="4823"/>
        <w:gridCol w:w="439"/>
        <w:gridCol w:w="473"/>
        <w:gridCol w:w="380"/>
        <w:gridCol w:w="497"/>
        <w:gridCol w:w="438"/>
        <w:gridCol w:w="450"/>
        <w:gridCol w:w="4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（本列数据的勾稽关系为：第一项加第二项之和，等于第三项加第四项之和）</w:t>
            </w:r>
          </w:p>
        </w:tc>
        <w:tc>
          <w:tcPr>
            <w:tcW w:w="314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39"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人</w:t>
            </w:r>
          </w:p>
        </w:tc>
        <w:tc>
          <w:tcPr>
            <w:tcW w:w="2238"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法人或其他组织</w:t>
            </w:r>
          </w:p>
        </w:tc>
        <w:tc>
          <w:tcPr>
            <w:tcW w:w="471"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39"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32"/>
                <w:szCs w:val="32"/>
              </w:rPr>
            </w:pP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企业</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机构</w:t>
            </w:r>
          </w:p>
        </w:tc>
        <w:tc>
          <w:tcPr>
            <w:tcW w:w="49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社会公益组织</w:t>
            </w:r>
          </w:p>
        </w:tc>
        <w:tc>
          <w:tcPr>
            <w:tcW w:w="43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法律服务机构</w:t>
            </w:r>
          </w:p>
        </w:tc>
        <w:tc>
          <w:tcPr>
            <w:tcW w:w="45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p>
        </w:tc>
        <w:tc>
          <w:tcPr>
            <w:tcW w:w="471"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一、本年新收政府信息公开申请数量</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二、上年结转政府信息公开申请数量</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三、本年度办理结果</w:t>
            </w: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（一）予以公开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（二）部分公开（区分处理的，只计这一情形，不计其他情形）</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（三）不予公开</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1.属于国家秘密</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2.其他法律行政法规禁止公开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3.危及“三安全一稳定”</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4.保护第三方合法权益</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5.属于三类内部事务信息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6.属于四类过程性信息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7.属于行政执法案卷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8.属于行政查询事项</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（四）无法提供</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1.本机关不掌握相关政府信息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8"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2.没有现成信息需要另行制作</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3.补正后申请内容仍不明确</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（五）不予处理</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1.信访举报投诉类申请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3.要求提供公开出版物</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4.无正当理由大量反复申请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5.要求行政机关确认或重新出具已获取信息</w:t>
            </w:r>
          </w:p>
        </w:tc>
        <w:tc>
          <w:tcPr>
            <w:tcW w:w="439"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166" w:hRule="atLeast"/>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（六）其他处理</w:t>
            </w: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1.申请人无正当理由逾期不补正、行政机关不再处理其政府信息公开申请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2.申请人逾期未按收费通知要求缴纳费用、行政机关不再处理其政府信息公开申请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3.其他</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5820" w:type="dxa"/>
            <w:gridSpan w:val="2"/>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（七）总计</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四、结转下年度继续办理</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bl>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 w:val="0"/>
          <w:bCs w:val="0"/>
          <w:kern w:val="2"/>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 w:val="0"/>
          <w:bCs w:val="0"/>
          <w:kern w:val="2"/>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黑体" w:hAnsi="黑体" w:eastAsia="黑体" w:cs="黑体"/>
          <w:b w:val="0"/>
          <w:bCs w:val="0"/>
          <w:kern w:val="2"/>
          <w:sz w:val="32"/>
          <w:szCs w:val="32"/>
          <w:shd w:val="clear" w:color="auto" w:fill="FFFFFF"/>
          <w:lang w:val="en-US" w:eastAsia="zh-CN" w:bidi="ar-SA"/>
        </w:rPr>
      </w:pPr>
    </w:p>
    <w:p>
      <w:pPr>
        <w:pStyle w:val="2"/>
        <w:ind w:left="0" w:leftChars="0" w:firstLine="0" w:firstLineChars="0"/>
        <w:rPr>
          <w:rFonts w:hint="eastAsia" w:ascii="黑体" w:hAnsi="黑体" w:eastAsia="黑体" w:cs="黑体"/>
          <w:b w:val="0"/>
          <w:bCs w:val="0"/>
          <w:kern w:val="2"/>
          <w:sz w:val="32"/>
          <w:szCs w:val="32"/>
          <w:shd w:val="clear" w:color="auto" w:fill="FFFFFF"/>
          <w:lang w:val="en-US" w:eastAsia="zh-CN" w:bidi="ar-SA"/>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宋体" w:hAnsi="宋体" w:eastAsia="宋体" w:cs="宋体"/>
          <w:b w:val="0"/>
          <w:bCs w:val="0"/>
          <w:i w:val="0"/>
          <w:iCs w:val="0"/>
          <w:caps w:val="0"/>
          <w:color w:val="333333"/>
          <w:spacing w:val="0"/>
          <w:kern w:val="0"/>
          <w:sz w:val="32"/>
          <w:szCs w:val="32"/>
          <w:lang w:val="en-US" w:eastAsia="zh-CN" w:bidi="ar"/>
        </w:rPr>
      </w:pPr>
      <w:r>
        <w:rPr>
          <w:rFonts w:hint="eastAsia" w:ascii="黑体" w:hAnsi="黑体" w:eastAsia="黑体" w:cs="黑体"/>
          <w:b w:val="0"/>
          <w:bCs w:val="0"/>
          <w:kern w:val="2"/>
          <w:sz w:val="32"/>
          <w:szCs w:val="32"/>
          <w:shd w:val="clear" w:color="auto" w:fill="FFFFFF"/>
          <w:lang w:val="en-US" w:eastAsia="zh-CN" w:bidi="ar-SA"/>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其他</w:t>
            </w:r>
            <w:r>
              <w:rPr>
                <w:rFonts w:hint="eastAsia" w:ascii="楷体_GB2312" w:hAnsi="楷体_GB2312" w:eastAsia="楷体_GB2312" w:cs="楷体_GB2312"/>
                <w:b/>
                <w:bCs/>
                <w:color w:val="000000"/>
                <w:kern w:val="0"/>
                <w:sz w:val="32"/>
                <w:szCs w:val="32"/>
                <w:lang w:val="en-US" w:eastAsia="zh-CN" w:bidi="ar"/>
              </w:rPr>
              <w:br w:type="textWrapping"/>
            </w:r>
            <w:r>
              <w:rPr>
                <w:rFonts w:hint="eastAsia" w:ascii="楷体_GB2312" w:hAnsi="楷体_GB2312" w:eastAsia="楷体_GB2312" w:cs="楷体_GB2312"/>
                <w:b/>
                <w:bCs/>
                <w:color w:val="000000"/>
                <w:kern w:val="0"/>
                <w:sz w:val="32"/>
                <w:szCs w:val="32"/>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24"/>
                <w:szCs w:val="24"/>
              </w:rPr>
            </w:pPr>
            <w:r>
              <w:rPr>
                <w:rFonts w:hint="eastAsia" w:ascii="仿宋_GB2312" w:hAnsi="仿宋_GB2312" w:cs="仿宋_GB2312"/>
                <w:kern w:val="0"/>
                <w:sz w:val="24"/>
                <w:szCs w:val="24"/>
                <w:lang w:val="en-US" w:eastAsia="zh-CN" w:bidi="ar"/>
              </w:rPr>
              <w:t>0</w:t>
            </w:r>
            <w:r>
              <w:rPr>
                <w:rFonts w:hint="eastAsia" w:ascii="仿宋_GB2312" w:hAnsi="仿宋_GB2312" w:eastAsia="仿宋_GB2312" w:cs="仿宋_GB2312"/>
                <w:kern w:val="0"/>
                <w:sz w:val="24"/>
                <w:szCs w:val="24"/>
                <w:lang w:val="en-US" w:eastAsia="zh-CN" w:bidi="ar"/>
              </w:rPr>
              <w:t>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24"/>
                <w:szCs w:val="24"/>
                <w:lang w:val="en-US"/>
              </w:rPr>
            </w:pPr>
            <w:r>
              <w:rPr>
                <w:rFonts w:hint="eastAsia" w:ascii="仿宋_GB2312" w:hAnsi="仿宋_GB2312" w:eastAsia="仿宋_GB2312" w:cs="仿宋_GB2312"/>
                <w:kern w:val="0"/>
                <w:sz w:val="24"/>
                <w:szCs w:val="24"/>
                <w:lang w:val="en-US" w:eastAsia="zh-CN" w:bidi="ar"/>
              </w:rPr>
              <w:t> </w:t>
            </w:r>
            <w:r>
              <w:rPr>
                <w:rFonts w:hint="eastAsia" w:ascii="仿宋_GB2312" w:hAnsi="仿宋_GB2312" w:cs="仿宋_GB2312"/>
                <w:kern w:val="0"/>
                <w:sz w:val="24"/>
                <w:szCs w:val="24"/>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jc w:val="center"/>
              <w:rPr>
                <w:rFonts w:hint="eastAsia"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0</w:t>
            </w:r>
          </w:p>
        </w:tc>
      </w:tr>
    </w:tbl>
    <w:p>
      <w:pPr>
        <w:keepNext w:val="0"/>
        <w:keepLines w:val="0"/>
        <w:widowControl/>
        <w:suppressLineNumbers w:val="0"/>
        <w:spacing w:line="240" w:lineRule="auto"/>
        <w:ind w:firstLine="0" w:firstLineChars="0"/>
        <w:jc w:val="left"/>
        <w:rPr>
          <w:rFonts w:asciiTheme="minorHAnsi" w:hAnsiTheme="minorHAnsi" w:eastAsiaTheme="minorEastAsia" w:cstheme="minorBidi"/>
          <w:sz w:val="21"/>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bCs w:val="0"/>
          <w:i w:val="0"/>
          <w:iCs w:val="0"/>
          <w:caps w:val="0"/>
          <w:color w:val="333333"/>
          <w:spacing w:val="0"/>
          <w:kern w:val="0"/>
          <w:sz w:val="24"/>
          <w:szCs w:val="24"/>
          <w:lang w:val="en-US" w:eastAsia="zh-CN" w:bidi="ar"/>
        </w:rPr>
      </w:pPr>
      <w:r>
        <w:rPr>
          <w:rFonts w:hint="eastAsia" w:ascii="黑体" w:hAnsi="黑体" w:eastAsia="黑体" w:cs="黑体"/>
          <w:b w:val="0"/>
          <w:bCs w:val="0"/>
          <w:kern w:val="2"/>
          <w:sz w:val="32"/>
          <w:szCs w:val="32"/>
          <w:shd w:val="clear" w:color="auto" w:fill="FFFFFF"/>
          <w:lang w:val="en-US" w:eastAsia="zh-CN" w:bidi="ar-SA"/>
        </w:rPr>
        <w:t>五、存在的主要问题及改进情况</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firstLine="42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年，建陶基地政府信息公开工作在市政府办的有效指导和帮助下虽取得了一定的成绩，但离高标准还有一定的差距，具体表现在。</w:t>
      </w:r>
      <w:r>
        <w:rPr>
          <w:rFonts w:hint="eastAsia" w:ascii="仿宋" w:hAnsi="仿宋" w:eastAsia="仿宋" w:cs="仿宋"/>
          <w:sz w:val="32"/>
          <w:szCs w:val="32"/>
          <w:lang w:eastAsia="zh-CN"/>
        </w:rPr>
        <w:t>一</w:t>
      </w:r>
      <w:r>
        <w:rPr>
          <w:rFonts w:hint="eastAsia" w:ascii="仿宋" w:hAnsi="仿宋" w:eastAsia="仿宋" w:cs="仿宋"/>
          <w:sz w:val="32"/>
          <w:szCs w:val="32"/>
        </w:rPr>
        <w:t>是政府公开的主题类目完善更新的</w:t>
      </w:r>
      <w:r>
        <w:rPr>
          <w:rFonts w:hint="eastAsia" w:ascii="仿宋" w:hAnsi="仿宋" w:eastAsia="仿宋" w:cs="仿宋"/>
          <w:sz w:val="32"/>
          <w:szCs w:val="32"/>
          <w:lang w:eastAsia="zh-CN"/>
        </w:rPr>
        <w:t>不</w:t>
      </w:r>
      <w:r>
        <w:rPr>
          <w:rFonts w:hint="eastAsia" w:ascii="仿宋" w:hAnsi="仿宋" w:eastAsia="仿宋" w:cs="仿宋"/>
          <w:sz w:val="32"/>
          <w:szCs w:val="32"/>
        </w:rPr>
        <w:t>够及时；</w:t>
      </w:r>
      <w:r>
        <w:rPr>
          <w:rFonts w:hint="eastAsia" w:ascii="仿宋" w:hAnsi="仿宋" w:eastAsia="仿宋" w:cs="仿宋"/>
          <w:sz w:val="32"/>
          <w:szCs w:val="32"/>
          <w:lang w:eastAsia="zh-CN"/>
        </w:rPr>
        <w:t>二</w:t>
      </w:r>
      <w:r>
        <w:rPr>
          <w:rFonts w:hint="eastAsia" w:ascii="仿宋" w:hAnsi="仿宋" w:eastAsia="仿宋" w:cs="仿宋"/>
          <w:sz w:val="32"/>
          <w:szCs w:val="32"/>
        </w:rPr>
        <w:t>是个别栏目中的文件类不对应；三是政务信息公开内容不够</w:t>
      </w:r>
      <w:r>
        <w:rPr>
          <w:rFonts w:hint="eastAsia" w:ascii="仿宋" w:hAnsi="仿宋" w:eastAsia="仿宋" w:cs="仿宋"/>
          <w:sz w:val="32"/>
          <w:szCs w:val="32"/>
          <w:lang w:eastAsia="zh-CN"/>
        </w:rPr>
        <w:t>丰富</w:t>
      </w:r>
      <w:r>
        <w:rPr>
          <w:rFonts w:hint="eastAsia" w:ascii="仿宋" w:hAnsi="仿宋" w:eastAsia="仿宋" w:cs="仿宋"/>
          <w:sz w:val="32"/>
          <w:szCs w:val="32"/>
        </w:rPr>
        <w:t>、有些需要挖掘的信息，没有</w:t>
      </w:r>
      <w:r>
        <w:rPr>
          <w:rFonts w:hint="eastAsia" w:ascii="仿宋" w:hAnsi="仿宋" w:eastAsia="仿宋" w:cs="仿宋"/>
          <w:sz w:val="32"/>
          <w:szCs w:val="32"/>
          <w:lang w:eastAsia="zh-CN"/>
        </w:rPr>
        <w:t>花</w:t>
      </w:r>
      <w:r>
        <w:rPr>
          <w:rFonts w:hint="eastAsia" w:ascii="仿宋" w:hAnsi="仿宋" w:eastAsia="仿宋" w:cs="仿宋"/>
          <w:sz w:val="32"/>
          <w:szCs w:val="32"/>
        </w:rPr>
        <w:t>时间去搜集凝练</w:t>
      </w:r>
      <w:r>
        <w:rPr>
          <w:rFonts w:hint="eastAsia" w:ascii="仿宋" w:hAnsi="仿宋" w:eastAsia="仿宋" w:cs="仿宋"/>
          <w:sz w:val="32"/>
          <w:szCs w:val="32"/>
          <w:lang w:eastAsia="zh-CN"/>
        </w:rPr>
        <w:t>；</w:t>
      </w:r>
      <w:r>
        <w:rPr>
          <w:rFonts w:hint="eastAsia" w:ascii="仿宋" w:hAnsi="仿宋" w:eastAsia="仿宋" w:cs="仿宋"/>
          <w:sz w:val="32"/>
          <w:szCs w:val="32"/>
        </w:rPr>
        <w:t>四是政务公开的内容</w:t>
      </w:r>
      <w:r>
        <w:rPr>
          <w:rFonts w:hint="eastAsia" w:ascii="仿宋" w:hAnsi="仿宋" w:eastAsia="仿宋" w:cs="仿宋"/>
          <w:sz w:val="32"/>
          <w:szCs w:val="32"/>
          <w:lang w:eastAsia="zh-CN"/>
        </w:rPr>
        <w:t>有时候</w:t>
      </w:r>
      <w:bookmarkStart w:id="0" w:name="_GoBack"/>
      <w:bookmarkEnd w:id="0"/>
      <w:r>
        <w:rPr>
          <w:rFonts w:hint="eastAsia" w:ascii="仿宋" w:hAnsi="仿宋" w:eastAsia="仿宋" w:cs="仿宋"/>
          <w:sz w:val="32"/>
          <w:szCs w:val="32"/>
          <w:lang w:eastAsia="zh-CN"/>
        </w:rPr>
        <w:t>更新</w:t>
      </w:r>
      <w:r>
        <w:rPr>
          <w:rFonts w:hint="eastAsia" w:ascii="仿宋" w:hAnsi="仿宋" w:eastAsia="仿宋" w:cs="仿宋"/>
          <w:sz w:val="32"/>
          <w:szCs w:val="32"/>
        </w:rPr>
        <w:t>不及时</w:t>
      </w:r>
      <w:r>
        <w:rPr>
          <w:rFonts w:hint="eastAsia" w:ascii="仿宋" w:hAnsi="仿宋" w:eastAsia="仿宋" w:cs="仿宋"/>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建陶基地政务公开工作今后需要从以下几个方面改进：</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firstLine="42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一是进一步健全和完善政府信息公开制度，规范公开内容，提高公开质量，提升政务信息公开的服务水平，进一步完善和拓展政务信息公开的内容和形式，切实加强信息的收集、整理和发布工作，提高信息的质量和信息的数量</w:t>
      </w:r>
      <w:r>
        <w:rPr>
          <w:rFonts w:hint="eastAsia" w:ascii="仿宋" w:hAnsi="仿宋" w:eastAsia="仿宋" w:cs="仿宋"/>
          <w:sz w:val="32"/>
          <w:szCs w:val="32"/>
          <w:lang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二是加大公开力度，进一步加强对公众关注度高的政府信息的梳理，逐步扩大公开信息的覆盖面，确保公开信息的完整性和准确性。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三是夯实公开基础，落实各项要求，确保政务信息公开工作正常运行、高效便民的政务服务。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四是加大监督、检查和考核力度，听取社会各界意见和建议， 努力提高工作的透明度。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kern w:val="0"/>
          <w:sz w:val="24"/>
          <w:szCs w:val="24"/>
          <w:lang w:val="en-US" w:eastAsia="zh-CN" w:bidi="ar"/>
        </w:rPr>
      </w:pPr>
      <w:r>
        <w:rPr>
          <w:rFonts w:hint="eastAsia" w:ascii="黑体" w:hAnsi="黑体" w:eastAsia="黑体" w:cs="黑体"/>
          <w:b w:val="0"/>
          <w:bCs w:val="0"/>
          <w:kern w:val="2"/>
          <w:sz w:val="32"/>
          <w:szCs w:val="32"/>
          <w:shd w:val="clear" w:color="auto" w:fill="FFFFFF"/>
          <w:lang w:val="en-US" w:eastAsia="zh-CN" w:bidi="ar-SA"/>
        </w:rPr>
        <w:t>六、其他需要报告的事项</w:t>
      </w:r>
    </w:p>
    <w:p>
      <w:pPr>
        <w:pStyle w:val="4"/>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560" w:lineRule="exact"/>
        <w:ind w:left="0" w:firstLine="420"/>
        <w:jc w:val="both"/>
        <w:textAlignment w:val="auto"/>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年度，本机关无收取信息处理费情况。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p>
    <w:p>
      <w:pPr>
        <w:keepNext w:val="0"/>
        <w:keepLines w:val="0"/>
        <w:pageBreakBefore w:val="0"/>
        <w:kinsoku/>
        <w:wordWrap/>
        <w:overflowPunct/>
        <w:topLinePunct w:val="0"/>
        <w:autoSpaceDE/>
        <w:autoSpaceDN/>
        <w:bidi w:val="0"/>
        <w:adjustRightInd/>
        <w:snapToGrid/>
        <w:spacing w:line="560" w:lineRule="exact"/>
        <w:ind w:firstLine="636" w:firstLineChars="199"/>
        <w:textAlignment w:val="auto"/>
      </w:pPr>
    </w:p>
    <w:sectPr>
      <w:headerReference r:id="rId5" w:type="first"/>
      <w:footerReference r:id="rId8" w:type="first"/>
      <w:headerReference r:id="rId3" w:type="default"/>
      <w:footerReference r:id="rId6" w:type="default"/>
      <w:headerReference r:id="rId4" w:type="even"/>
      <w:footerReference r:id="rId7" w:type="even"/>
      <w:pgSz w:w="11906" w:h="16838"/>
      <w:pgMar w:top="1417" w:right="1417" w:bottom="1417" w:left="1417" w:header="851" w:footer="1417" w:gutter="0"/>
      <w:pgNumType w:fmt="decimal"/>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360"/>
                            <w:jc w:val="right"/>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w:t>
                          </w:r>
                          <w:r>
                            <w:rPr>
                              <w:sz w:val="28"/>
                              <w:szCs w:val="28"/>
                            </w:rPr>
                            <w:fldChar w:fldCharType="end"/>
                          </w:r>
                          <w:r>
                            <w:rPr>
                              <w:rFonts w:hint="eastAsia"/>
                              <w:sz w:val="28"/>
                              <w:szCs w:val="28"/>
                            </w:rPr>
                            <w:t xml:space="preserve"> —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ind w:firstLine="360"/>
                      <w:jc w:val="right"/>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w:t>
                    </w:r>
                    <w:r>
                      <w:rPr>
                        <w:sz w:val="28"/>
                        <w:szCs w:val="28"/>
                      </w:rPr>
                      <w:fldChar w:fldCharType="end"/>
                    </w:r>
                    <w:r>
                      <w:rPr>
                        <w:rFonts w:hint="eastAsia"/>
                        <w:sz w:val="28"/>
                        <w:szCs w:val="28"/>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F02D1"/>
    <w:multiLevelType w:val="singleLevel"/>
    <w:tmpl w:val="496F02D1"/>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zMjVlNTkxMTAzMTUwNDMyMTFhNmQ5Y2ZiYjA0NGYifQ=="/>
  </w:docVars>
  <w:rsids>
    <w:rsidRoot w:val="1A5811E8"/>
    <w:rsid w:val="0158167D"/>
    <w:rsid w:val="087A664E"/>
    <w:rsid w:val="0CD52552"/>
    <w:rsid w:val="0E606BBD"/>
    <w:rsid w:val="154F2B4A"/>
    <w:rsid w:val="16545BDD"/>
    <w:rsid w:val="16C23ECA"/>
    <w:rsid w:val="18315BE9"/>
    <w:rsid w:val="1A5811E8"/>
    <w:rsid w:val="1AD31D3E"/>
    <w:rsid w:val="1D623DC5"/>
    <w:rsid w:val="1F224A2F"/>
    <w:rsid w:val="1F2549A5"/>
    <w:rsid w:val="268A3AF3"/>
    <w:rsid w:val="27D7484C"/>
    <w:rsid w:val="2D5D7EB2"/>
    <w:rsid w:val="33CC4759"/>
    <w:rsid w:val="3621472C"/>
    <w:rsid w:val="3677705B"/>
    <w:rsid w:val="3728666B"/>
    <w:rsid w:val="3B81566D"/>
    <w:rsid w:val="3E28404F"/>
    <w:rsid w:val="4B021A75"/>
    <w:rsid w:val="51383D23"/>
    <w:rsid w:val="56180C0B"/>
    <w:rsid w:val="59375BF1"/>
    <w:rsid w:val="5B4B2442"/>
    <w:rsid w:val="60E23AF9"/>
    <w:rsid w:val="63772494"/>
    <w:rsid w:val="66386EBE"/>
    <w:rsid w:val="6EA56B13"/>
    <w:rsid w:val="700C6349"/>
    <w:rsid w:val="73060955"/>
    <w:rsid w:val="73E3206A"/>
    <w:rsid w:val="7542133C"/>
    <w:rsid w:val="797C3E46"/>
    <w:rsid w:val="7E60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jc w:val="both"/>
    </w:pPr>
    <w:rPr>
      <w:rFonts w:ascii="Times New Roman" w:hAnsi="Times New Roman" w:eastAsia="仿宋_GB2312" w:cs="Times New Roman"/>
      <w:kern w:val="2"/>
      <w:sz w:val="32"/>
      <w:szCs w:val="32"/>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4837</Words>
  <Characters>4977</Characters>
  <Lines>0</Lines>
  <Paragraphs>0</Paragraphs>
  <TotalTime>1</TotalTime>
  <ScaleCrop>false</ScaleCrop>
  <LinksUpToDate>false</LinksUpToDate>
  <CharactersWithSpaces>5388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2022-01-05T02:51:00Z</dcterms:created>
  <dc:creator>Mayday.</dc:creator>
  <cp:lastModifiedBy>葱葱辣盐</cp:lastModifiedBy>
  <dcterms:modified xsi:type="dcterms:W3CDTF">2024-01-08T06:58:22Z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453E9696D9174188A877CCAC05D9852D</vt:lpwstr>
  </property>
</Properties>
</file>