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ind w:firstLine="215" w:firstLineChars="49"/>
        <w:jc w:val="center"/>
        <w:rPr>
          <w:rFonts w:ascii="方正小标宋_GBK" w:hAnsi="方正小标宋简体" w:eastAsia="方正小标宋_GBK"/>
          <w:bCs/>
          <w:color w:val="000000"/>
          <w:sz w:val="44"/>
          <w:szCs w:val="44"/>
          <w:shd w:val="clear" w:color="auto" w:fill="FFFFFF"/>
        </w:rPr>
      </w:pPr>
      <w:r>
        <w:rPr>
          <w:rFonts w:hint="eastAsia" w:ascii="方正小标宋_GBK" w:hAnsi="方正小标宋简体" w:eastAsia="方正小标宋_GBK"/>
          <w:bCs/>
          <w:color w:val="000000"/>
          <w:sz w:val="44"/>
          <w:szCs w:val="44"/>
          <w:shd w:val="clear" w:color="auto" w:fill="FFFFFF"/>
        </w:rPr>
        <w:t>高安市发展和改革委员会</w:t>
      </w:r>
    </w:p>
    <w:p>
      <w:pPr>
        <w:pStyle w:val="4"/>
        <w:widowControl/>
        <w:shd w:val="clear" w:color="auto" w:fill="FFFFFF"/>
        <w:spacing w:before="0" w:beforeAutospacing="0" w:after="0" w:afterAutospacing="0"/>
        <w:ind w:firstLine="215" w:firstLineChars="49"/>
        <w:jc w:val="center"/>
        <w:rPr>
          <w:rFonts w:hint="eastAsia" w:ascii="方正小标宋_GBK" w:hAnsi="方正小标宋简体" w:eastAsia="方正小标宋_GBK"/>
          <w:color w:val="000000"/>
          <w:sz w:val="44"/>
          <w:szCs w:val="44"/>
        </w:rPr>
      </w:pPr>
      <w:r>
        <w:rPr>
          <w:rFonts w:hint="eastAsia" w:ascii="方正小标宋_GBK" w:hAnsi="方正小标宋简体" w:eastAsia="方正小标宋_GBK"/>
          <w:bCs/>
          <w:color w:val="000000"/>
          <w:sz w:val="44"/>
          <w:szCs w:val="44"/>
          <w:shd w:val="clear" w:color="auto" w:fill="FFFFFF"/>
        </w:rPr>
        <w:t>202</w:t>
      </w:r>
      <w:r>
        <w:rPr>
          <w:rFonts w:hint="eastAsia" w:ascii="方正小标宋_GBK" w:hAnsi="方正小标宋简体" w:eastAsia="方正小标宋_GBK"/>
          <w:bCs/>
          <w:color w:val="000000"/>
          <w:sz w:val="44"/>
          <w:szCs w:val="44"/>
          <w:shd w:val="clear" w:color="auto" w:fill="FFFFFF"/>
          <w:lang w:val="en-US" w:eastAsia="zh-CN"/>
        </w:rPr>
        <w:t>2</w:t>
      </w:r>
      <w:r>
        <w:rPr>
          <w:rFonts w:hint="eastAsia" w:ascii="方正小标宋_GBK" w:hAnsi="方正小标宋简体" w:eastAsia="方正小标宋_GBK"/>
          <w:bCs/>
          <w:color w:val="000000"/>
          <w:sz w:val="44"/>
          <w:szCs w:val="44"/>
          <w:shd w:val="clear" w:color="auto" w:fill="FFFFFF"/>
        </w:rPr>
        <w:t>年政府信息公开工作年度报告</w:t>
      </w:r>
    </w:p>
    <w:p>
      <w:pPr>
        <w:pStyle w:val="4"/>
        <w:widowControl/>
        <w:shd w:val="clear" w:color="auto" w:fill="FFFFFF"/>
        <w:spacing w:before="0" w:beforeAutospacing="0" w:after="0" w:afterAutospacing="0"/>
        <w:ind w:firstLine="640"/>
        <w:jc w:val="both"/>
        <w:rPr>
          <w:rFonts w:hint="eastAsia" w:ascii="仿宋_GB2312" w:hAnsi="仿宋_GB2312"/>
          <w:color w:val="000000"/>
          <w:sz w:val="32"/>
          <w:szCs w:val="32"/>
        </w:rPr>
      </w:pPr>
      <w:r>
        <w:rPr>
          <w:rFonts w:ascii="仿宋_GB2312" w:hAnsi="仿宋_GB2312"/>
          <w:color w:val="000000"/>
          <w:sz w:val="32"/>
          <w:szCs w:val="32"/>
        </w:rPr>
        <w:t xml:space="preserve"> </w:t>
      </w:r>
    </w:p>
    <w:p>
      <w:pPr>
        <w:pStyle w:val="4"/>
        <w:widowControl/>
        <w:shd w:val="clear" w:color="auto" w:fill="FFFFFF"/>
        <w:spacing w:before="0" w:beforeAutospacing="0" w:after="0" w:afterAutospacing="0"/>
        <w:ind w:firstLine="640"/>
        <w:jc w:val="both"/>
        <w:rPr>
          <w:rFonts w:ascii="仿宋_GB2312" w:hAnsi="仿宋_GB2312"/>
          <w:color w:val="000000"/>
          <w:sz w:val="32"/>
          <w:szCs w:val="32"/>
        </w:rPr>
      </w:pPr>
      <w:r>
        <w:rPr>
          <w:rFonts w:hint="eastAsia" w:ascii="仿宋" w:hAnsi="仿宋" w:eastAsia="仿宋"/>
          <w:color w:val="00000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高安市发展和改革委员会结合有关统计</w:t>
      </w:r>
      <w:bookmarkStart w:id="0" w:name="_GoBack"/>
      <w:bookmarkEnd w:id="0"/>
      <w:r>
        <w:rPr>
          <w:rFonts w:hint="eastAsia" w:ascii="仿宋" w:hAnsi="仿宋" w:eastAsia="仿宋"/>
          <w:color w:val="000000"/>
          <w:sz w:val="32"/>
          <w:szCs w:val="32"/>
        </w:rPr>
        <w:t>数据编制。本年度报告中所列数据的统计期限自202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年1月1日起至202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http://www.gaoan.gov.cn/下载。如对本报告有任何疑问，请与</w:t>
      </w:r>
      <w:r>
        <w:rPr>
          <w:rFonts w:hint="eastAsia" w:ascii="仿宋" w:hAnsi="仿宋" w:eastAsia="仿宋"/>
          <w:color w:val="000000"/>
          <w:sz w:val="32"/>
          <w:szCs w:val="32"/>
          <w:lang w:eastAsia="zh-CN"/>
        </w:rPr>
        <w:t>发改委</w:t>
      </w:r>
      <w:r>
        <w:rPr>
          <w:rFonts w:hint="eastAsia" w:ascii="仿宋" w:hAnsi="仿宋" w:eastAsia="仿宋"/>
          <w:color w:val="000000"/>
          <w:sz w:val="32"/>
          <w:szCs w:val="32"/>
        </w:rPr>
        <w:t>联系（地址：高安市瑞阳新区</w:t>
      </w:r>
      <w:r>
        <w:rPr>
          <w:rFonts w:hint="eastAsia" w:ascii="仿宋" w:hAnsi="仿宋" w:eastAsia="仿宋"/>
          <w:color w:val="000000"/>
          <w:sz w:val="32"/>
          <w:szCs w:val="32"/>
          <w:lang w:eastAsia="zh-CN"/>
        </w:rPr>
        <w:t>行政大楼二楼</w:t>
      </w:r>
      <w:r>
        <w:rPr>
          <w:rFonts w:hint="eastAsia" w:ascii="仿宋" w:hAnsi="仿宋" w:eastAsia="仿宋"/>
          <w:color w:val="000000"/>
          <w:sz w:val="32"/>
          <w:szCs w:val="32"/>
        </w:rPr>
        <w:t>，电话：</w:t>
      </w:r>
      <w:r>
        <w:rPr>
          <w:rFonts w:hint="eastAsia" w:ascii="仿宋" w:hAnsi="仿宋" w:eastAsia="仿宋"/>
          <w:color w:val="000000"/>
          <w:sz w:val="32"/>
          <w:szCs w:val="32"/>
          <w:lang w:val="en-US" w:eastAsia="zh-CN"/>
        </w:rPr>
        <w:t>0795-5212577</w:t>
      </w:r>
      <w:r>
        <w:rPr>
          <w:rFonts w:hint="eastAsia" w:ascii="仿宋" w:hAnsi="仿宋" w:eastAsia="仿宋"/>
          <w:color w:val="000000"/>
          <w:sz w:val="32"/>
          <w:szCs w:val="32"/>
        </w:rPr>
        <w:t>，邮编：330800）。</w:t>
      </w:r>
      <w:r>
        <w:rPr>
          <w:rFonts w:ascii="仿宋_GB2312" w:hAnsi="仿宋_GB2312"/>
          <w:color w:val="000000"/>
          <w:sz w:val="32"/>
          <w:szCs w:val="32"/>
        </w:rPr>
        <w:t xml:space="preserve"> </w:t>
      </w:r>
    </w:p>
    <w:p>
      <w:pPr>
        <w:pStyle w:val="4"/>
        <w:widowControl/>
        <w:numPr>
          <w:ilvl w:val="0"/>
          <w:numId w:val="1"/>
        </w:numPr>
        <w:shd w:val="clear" w:color="auto" w:fill="FFFFFF"/>
        <w:spacing w:before="0" w:beforeAutospacing="0" w:after="0" w:afterAutospacing="0"/>
        <w:ind w:firstLineChars="0"/>
        <w:jc w:val="both"/>
        <w:rPr>
          <w:rFonts w:ascii="黑体" w:hAnsi="黑体" w:eastAsia="黑体"/>
          <w:color w:val="000000"/>
          <w:sz w:val="32"/>
          <w:szCs w:val="32"/>
        </w:rPr>
      </w:pPr>
      <w:r>
        <w:rPr>
          <w:rFonts w:hint="eastAsia" w:ascii="黑体" w:hAnsi="黑体" w:eastAsia="黑体"/>
          <w:color w:val="000000"/>
          <w:sz w:val="32"/>
          <w:szCs w:val="32"/>
        </w:rPr>
        <w:t>总体情况</w:t>
      </w:r>
    </w:p>
    <w:p>
      <w:pPr>
        <w:pStyle w:val="4"/>
        <w:widowControl/>
        <w:shd w:val="clear" w:color="auto" w:fill="FFFFFF"/>
        <w:spacing w:before="0" w:beforeAutospacing="0" w:after="0" w:afterAutospacing="0"/>
        <w:ind w:firstLine="640"/>
        <w:jc w:val="both"/>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年高安市发展和改革委员会坚持以习近平新时代中国特色社会主义思想为指导，深入贯彻党的</w:t>
      </w:r>
      <w:r>
        <w:rPr>
          <w:rFonts w:hint="eastAsia" w:ascii="仿宋" w:hAnsi="仿宋" w:eastAsia="仿宋"/>
          <w:color w:val="000000"/>
          <w:sz w:val="32"/>
          <w:szCs w:val="32"/>
          <w:lang w:val="en-US" w:eastAsia="zh-CN"/>
        </w:rPr>
        <w:t>二十大</w:t>
      </w:r>
      <w:r>
        <w:rPr>
          <w:rFonts w:hint="eastAsia" w:ascii="仿宋" w:hAnsi="仿宋" w:eastAsia="仿宋"/>
          <w:color w:val="000000"/>
          <w:sz w:val="32"/>
          <w:szCs w:val="32"/>
        </w:rPr>
        <w:t>精神，严格落实《国务院办公厅印发〈关于全面推进政务公开工作的意见〉实施细则的通知》（国办发〔2016〕80号）和《国务院办公厅关于印发202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年政务公开工作要点的通知》（国办发〔202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号）的要求。同时积极对照《条例》和《通知》明确目标任务，深入贯彻落实各级政务公开工作有关制度规定，加大信息公开力度，确保</w:t>
      </w:r>
      <w:r>
        <w:rPr>
          <w:rFonts w:hint="eastAsia" w:ascii="仿宋" w:hAnsi="仿宋" w:eastAsia="仿宋"/>
          <w:color w:val="000000"/>
          <w:sz w:val="32"/>
          <w:szCs w:val="32"/>
          <w:lang w:val="en-US" w:eastAsia="zh-CN"/>
        </w:rPr>
        <w:t>政务公开</w:t>
      </w:r>
      <w:r>
        <w:rPr>
          <w:rFonts w:hint="eastAsia" w:ascii="仿宋" w:hAnsi="仿宋" w:eastAsia="仿宋"/>
          <w:color w:val="000000"/>
          <w:sz w:val="32"/>
          <w:szCs w:val="32"/>
        </w:rPr>
        <w:t>工作依法、按时、准确公开，着力提升政府信息公开质量，推进拓宽政府信息公开渠道，不断增强政府信息公开实效。</w:t>
      </w:r>
    </w:p>
    <w:p>
      <w:pPr>
        <w:pStyle w:val="4"/>
        <w:widowControl/>
        <w:shd w:val="clear" w:color="auto" w:fill="FFFFFF"/>
        <w:spacing w:before="0" w:beforeAutospacing="0" w:after="0" w:afterAutospacing="0"/>
        <w:ind w:firstLine="360" w:firstLineChars="112"/>
        <w:jc w:val="both"/>
        <w:rPr>
          <w:rFonts w:hint="eastAsia" w:ascii="仿宋" w:hAnsi="仿宋" w:eastAsia="仿宋"/>
          <w:color w:val="000000"/>
          <w:sz w:val="32"/>
          <w:szCs w:val="32"/>
          <w:shd w:val="clear" w:color="auto" w:fill="FFFFFF"/>
        </w:rPr>
      </w:pPr>
      <w:r>
        <w:rPr>
          <w:rFonts w:hint="eastAsia" w:ascii="仿宋" w:hAnsi="仿宋" w:eastAsia="仿宋"/>
          <w:b/>
          <w:bCs/>
          <w:color w:val="000000"/>
          <w:sz w:val="32"/>
          <w:szCs w:val="32"/>
          <w:shd w:val="clear" w:color="auto" w:fill="FFFFFF"/>
        </w:rPr>
        <w:t>（一）主动公开</w:t>
      </w:r>
    </w:p>
    <w:p>
      <w:pPr>
        <w:pStyle w:val="4"/>
        <w:widowControl/>
        <w:shd w:val="clear" w:color="auto" w:fill="FFFFFF"/>
        <w:spacing w:before="0" w:beforeAutospacing="0" w:after="0" w:afterAutospacing="0"/>
        <w:ind w:firstLine="640"/>
        <w:jc w:val="both"/>
        <w:rPr>
          <w:rFonts w:hint="eastAsia" w:ascii="仿宋" w:hAnsi="仿宋" w:eastAsia="仿宋"/>
          <w:color w:val="000000"/>
          <w:sz w:val="32"/>
          <w:szCs w:val="32"/>
        </w:rPr>
      </w:pPr>
      <w:r>
        <w:rPr>
          <w:rFonts w:hint="eastAsia" w:ascii="仿宋" w:hAnsi="仿宋" w:eastAsia="仿宋"/>
          <w:color w:val="000000"/>
          <w:sz w:val="32"/>
          <w:szCs w:val="32"/>
          <w:lang w:val="en-US" w:eastAsia="zh-CN"/>
        </w:rPr>
        <w:t>2022年，高安市发改委严格按照年度政务公开重点工作任务和深化“放管服”改革优化营商环境工作要求，</w:t>
      </w:r>
      <w:r>
        <w:rPr>
          <w:rFonts w:hint="eastAsia" w:ascii="仿宋" w:hAnsi="仿宋" w:eastAsia="仿宋"/>
          <w:color w:val="000000"/>
          <w:sz w:val="32"/>
          <w:szCs w:val="32"/>
        </w:rPr>
        <w:t>充分发挥政府门户网站作为政务公开第一平台载体作用，</w:t>
      </w:r>
      <w:r>
        <w:rPr>
          <w:rFonts w:hint="eastAsia" w:ascii="仿宋" w:hAnsi="仿宋" w:eastAsia="仿宋"/>
          <w:color w:val="000000"/>
          <w:sz w:val="32"/>
          <w:szCs w:val="32"/>
          <w:lang w:val="en-US" w:eastAsia="zh-CN"/>
        </w:rPr>
        <w:t>主动公开政务信息，主动接受监督。全年共发布政府网站政务公开信息134</w:t>
      </w:r>
      <w:r>
        <w:rPr>
          <w:rFonts w:hint="eastAsia" w:ascii="仿宋" w:hAnsi="仿宋" w:eastAsia="仿宋"/>
          <w:color w:val="000000"/>
          <w:sz w:val="32"/>
          <w:szCs w:val="32"/>
        </w:rPr>
        <w:t>条。</w:t>
      </w:r>
      <w:r>
        <w:rPr>
          <w:rFonts w:hint="eastAsia" w:ascii="仿宋" w:hAnsi="仿宋" w:eastAsia="仿宋"/>
          <w:color w:val="000000"/>
          <w:sz w:val="32"/>
          <w:szCs w:val="32"/>
          <w:lang w:eastAsia="zh-CN"/>
        </w:rPr>
        <w:t>其中决策公开</w:t>
      </w:r>
      <w:r>
        <w:rPr>
          <w:rFonts w:hint="eastAsia" w:ascii="仿宋" w:hAnsi="仿宋" w:eastAsia="仿宋"/>
          <w:color w:val="000000"/>
          <w:sz w:val="32"/>
          <w:szCs w:val="32"/>
          <w:lang w:val="en-US" w:eastAsia="zh-CN"/>
        </w:rPr>
        <w:t>22条、执行公开16条、管理公开39条、服务公开1条、结果公开21条、重大建设项目批准与实施12条、公共监管16条、六稳六保7条等。</w:t>
      </w:r>
    </w:p>
    <w:p>
      <w:pPr>
        <w:pStyle w:val="4"/>
        <w:widowControl/>
        <w:shd w:val="clear" w:color="auto" w:fill="FFFFFF"/>
        <w:spacing w:before="0" w:beforeAutospacing="0" w:after="0" w:afterAutospacing="0"/>
        <w:ind w:firstLine="520" w:firstLineChars="162"/>
        <w:jc w:val="both"/>
        <w:rPr>
          <w:rFonts w:hint="eastAsia"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rPr>
        <w:t>（二）依申请公开</w:t>
      </w:r>
    </w:p>
    <w:p>
      <w:pPr>
        <w:pStyle w:val="4"/>
        <w:widowControl/>
        <w:shd w:val="clear" w:color="auto" w:fill="FFFFFF"/>
        <w:spacing w:before="0" w:beforeAutospacing="0" w:after="0" w:afterAutospacing="0"/>
        <w:ind w:firstLine="640"/>
        <w:jc w:val="both"/>
        <w:rPr>
          <w:rFonts w:hint="eastAsia" w:ascii="仿宋" w:hAnsi="仿宋" w:eastAsia="仿宋"/>
          <w:color w:val="000000"/>
          <w:sz w:val="32"/>
          <w:szCs w:val="32"/>
        </w:rPr>
      </w:pPr>
      <w:r>
        <w:rPr>
          <w:rFonts w:hint="eastAsia" w:ascii="仿宋" w:hAnsi="仿宋" w:eastAsia="仿宋"/>
          <w:color w:val="000000"/>
          <w:sz w:val="32"/>
          <w:szCs w:val="32"/>
          <w:lang w:val="en-US" w:eastAsia="zh-CN"/>
        </w:rPr>
        <w:t>根据新《条例》和我市依申请公开制度相关规定，发改委明确依申请公开的职责、程序、公开方式和时限要求，落实专人负责信息公开申请收集与回复，申请指南及申请渠道均在平台发布，服务咨询电话保障接听、保障受理。2022年共收到政府信息公开申请 0 件。</w:t>
      </w:r>
    </w:p>
    <w:p>
      <w:pPr>
        <w:pStyle w:val="4"/>
        <w:widowControl/>
        <w:shd w:val="clear" w:color="auto" w:fill="FFFFFF"/>
        <w:spacing w:before="0" w:beforeAutospacing="0" w:after="0" w:afterAutospacing="0"/>
        <w:ind w:firstLine="520" w:firstLineChars="162"/>
        <w:jc w:val="both"/>
        <w:rPr>
          <w:rFonts w:hint="eastAsia"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rPr>
        <w:t>（三）政府信息管理</w:t>
      </w:r>
    </w:p>
    <w:p>
      <w:pPr>
        <w:widowControl/>
        <w:shd w:val="clear" w:color="auto" w:fill="FFFFFF"/>
        <w:ind w:firstLine="560" w:firstLineChars="0"/>
        <w:rPr>
          <w:rFonts w:hint="eastAsia" w:ascii="仿宋" w:hAnsi="仿宋" w:eastAsia="仿宋" w:cs="宋体"/>
          <w:color w:val="000000"/>
          <w:kern w:val="0"/>
        </w:rPr>
      </w:pPr>
      <w:r>
        <w:rPr>
          <w:rFonts w:hint="eastAsia" w:ascii="仿宋" w:hAnsi="仿宋" w:eastAsia="仿宋" w:cs="宋体"/>
          <w:color w:val="000000"/>
          <w:kern w:val="0"/>
        </w:rPr>
        <w:t>规范化标准化建设。坚持政务公开一把手负责制，主任任政务公开领导小组组长，分管领导为副组长，各股室负责人为成员，办公室主任兼任领导小组办公室主任。具体工作由办公室牵头组织，并确定具体负责人。各股室负责具体落实，建立了齐抓共管、狠抓落实的政务公开工作领导格局。</w:t>
      </w:r>
    </w:p>
    <w:p>
      <w:pPr>
        <w:widowControl/>
        <w:shd w:val="clear" w:color="auto" w:fill="FFFFFF"/>
        <w:ind w:firstLine="560" w:firstLineChars="0"/>
        <w:rPr>
          <w:rFonts w:hint="eastAsia" w:ascii="仿宋" w:hAnsi="仿宋" w:eastAsia="仿宋" w:cs="宋体"/>
          <w:b/>
          <w:color w:val="000000"/>
          <w:kern w:val="0"/>
        </w:rPr>
      </w:pPr>
      <w:r>
        <w:rPr>
          <w:rFonts w:hint="eastAsia" w:ascii="仿宋" w:hAnsi="仿宋" w:eastAsia="仿宋" w:cs="宋体"/>
          <w:b/>
          <w:color w:val="000000"/>
          <w:kern w:val="0"/>
        </w:rPr>
        <w:t>（四）</w:t>
      </w:r>
      <w:r>
        <w:rPr>
          <w:rFonts w:hint="eastAsia" w:ascii="仿宋" w:hAnsi="仿宋" w:eastAsia="仿宋" w:cs="宋体"/>
          <w:b/>
          <w:color w:val="000000"/>
          <w:kern w:val="0"/>
          <w:lang w:val="en-US" w:eastAsia="zh-CN"/>
        </w:rPr>
        <w:t>政府信息公开</w:t>
      </w:r>
      <w:r>
        <w:rPr>
          <w:rFonts w:hint="eastAsia" w:ascii="仿宋" w:hAnsi="仿宋" w:eastAsia="仿宋" w:cs="宋体"/>
          <w:b/>
          <w:color w:val="000000"/>
          <w:kern w:val="0"/>
        </w:rPr>
        <w:t>平台建设</w:t>
      </w:r>
    </w:p>
    <w:p>
      <w:pPr>
        <w:widowControl/>
        <w:shd w:val="clear" w:color="auto" w:fill="FFFFFF"/>
        <w:ind w:firstLine="560" w:firstLineChars="0"/>
        <w:rPr>
          <w:rFonts w:hint="eastAsia" w:ascii="仿宋" w:hAnsi="仿宋" w:eastAsia="仿宋" w:cs="宋体"/>
          <w:color w:val="000000"/>
          <w:kern w:val="0"/>
        </w:rPr>
      </w:pPr>
      <w:r>
        <w:rPr>
          <w:rFonts w:hint="eastAsia" w:ascii="仿宋" w:hAnsi="仿宋" w:eastAsia="仿宋" w:cs="宋体"/>
          <w:color w:val="000000"/>
          <w:kern w:val="0"/>
        </w:rPr>
        <w:t>坚持做好信息公开平台的维护、梳理和更新，深入推进本级政府信息公开工作，确保人民群众能及时、准确地获得相关信息。</w:t>
      </w:r>
    </w:p>
    <w:p>
      <w:pPr>
        <w:widowControl/>
        <w:shd w:val="clear" w:color="auto" w:fill="FFFFFF"/>
        <w:ind w:firstLine="560" w:firstLineChars="0"/>
        <w:rPr>
          <w:rFonts w:hint="eastAsia" w:ascii="仿宋" w:hAnsi="仿宋" w:eastAsia="仿宋" w:cs="宋体"/>
          <w:b/>
          <w:color w:val="000000"/>
          <w:kern w:val="0"/>
        </w:rPr>
      </w:pPr>
      <w:r>
        <w:rPr>
          <w:rFonts w:hint="eastAsia" w:ascii="仿宋" w:hAnsi="仿宋" w:eastAsia="仿宋" w:cs="宋体"/>
          <w:b/>
          <w:color w:val="000000"/>
          <w:kern w:val="0"/>
        </w:rPr>
        <w:t>（五）监督保障</w:t>
      </w:r>
    </w:p>
    <w:p>
      <w:pPr>
        <w:widowControl/>
        <w:shd w:val="clear" w:color="auto" w:fill="FFFFFF"/>
        <w:ind w:firstLine="560" w:firstLineChars="0"/>
        <w:rPr>
          <w:rFonts w:hint="eastAsia" w:ascii="仿宋" w:hAnsi="仿宋" w:eastAsia="仿宋" w:cs="宋体"/>
          <w:color w:val="000000"/>
          <w:kern w:val="0"/>
        </w:rPr>
      </w:pPr>
      <w:r>
        <w:rPr>
          <w:rFonts w:hint="eastAsia" w:ascii="仿宋" w:hAnsi="仿宋" w:eastAsia="仿宋" w:cs="宋体"/>
          <w:color w:val="000000"/>
          <w:kern w:val="0"/>
        </w:rPr>
        <w:t>认真开展信息公开监管督查工作，定期或不定期对政府公开情况进行督促。深入了解基层群众的呼声和要求，加大对政府公开办事公开督促检查力度，实行有效监督，严格责任追究，确保政务公开办事公开规范、有序、真实、实效，全面提高政务公开办事公开工作的质量。</w:t>
      </w:r>
    </w:p>
    <w:p>
      <w:pPr>
        <w:ind w:firstLine="640"/>
        <w:rPr>
          <w:rFonts w:hint="eastAsia" w:ascii="黑体" w:hAnsi="黑体" w:eastAsia="黑体"/>
        </w:rPr>
      </w:pPr>
      <w:r>
        <w:rPr>
          <w:rFonts w:hint="eastAsia" w:ascii="黑体" w:hAnsi="黑体" w:eastAsia="黑体"/>
          <w:bCs/>
        </w:rPr>
        <w:t>二、主动公开政府信息情况</w:t>
      </w:r>
      <w:r>
        <w:rPr>
          <w:rFonts w:hint="eastAsia" w:ascii="黑体" w:hAnsi="黑体" w:eastAsia="黑体"/>
        </w:rPr>
        <w:t xml:space="preserve"> </w:t>
      </w:r>
    </w:p>
    <w:tbl>
      <w:tblPr>
        <w:tblStyle w:val="5"/>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0" w:firstLineChars="0"/>
              <w:jc w:val="center"/>
              <w:rPr>
                <w:rFonts w:ascii="仿宋_GB2312" w:hAnsi="仿宋_GB2312"/>
                <w:sz w:val="24"/>
                <w:szCs w:val="24"/>
              </w:rPr>
            </w:pPr>
            <w:r>
              <w:rPr>
                <w:rFonts w:ascii="仿宋_GB2312" w:hAnsi="仿宋_GB2312"/>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0" w:firstLineChars="0"/>
              <w:jc w:val="center"/>
              <w:rPr>
                <w:rFonts w:ascii="仿宋_GB2312" w:hAnsi="仿宋_GB2312"/>
                <w:sz w:val="24"/>
                <w:szCs w:val="24"/>
              </w:rPr>
            </w:pPr>
            <w:r>
              <w:rPr>
                <w:rFonts w:ascii="仿宋_GB2312" w:hAnsi="仿宋_GB2312"/>
                <w:sz w:val="24"/>
                <w:szCs w:val="24"/>
              </w:rPr>
              <w:t>信息内容</w:t>
            </w:r>
          </w:p>
        </w:tc>
        <w:tc>
          <w:tcPr>
            <w:tcW w:w="2460" w:type="dxa"/>
            <w:tcBorders>
              <w:top w:val="single" w:color="auto" w:sz="4" w:space="0"/>
              <w:left w:val="nil"/>
              <w:bottom w:val="single" w:color="auto" w:sz="4" w:space="0"/>
              <w:right w:val="single" w:color="auto" w:sz="4" w:space="0"/>
            </w:tcBorders>
            <w:noWrap w:val="0"/>
            <w:vAlign w:val="top"/>
          </w:tcPr>
          <w:p>
            <w:pPr>
              <w:spacing w:line="460" w:lineRule="exact"/>
              <w:ind w:firstLine="0" w:firstLineChars="0"/>
              <w:jc w:val="center"/>
              <w:rPr>
                <w:rFonts w:ascii="仿宋_GB2312" w:hAnsi="仿宋_GB2312"/>
                <w:sz w:val="24"/>
                <w:szCs w:val="24"/>
              </w:rPr>
            </w:pPr>
            <w:r>
              <w:rPr>
                <w:rFonts w:ascii="仿宋_GB2312" w:hAnsi="仿宋_GB2312"/>
                <w:sz w:val="24"/>
                <w:szCs w:val="24"/>
              </w:rPr>
              <w:t>本年新制作数量</w:t>
            </w:r>
          </w:p>
        </w:tc>
        <w:tc>
          <w:tcPr>
            <w:tcW w:w="2025" w:type="dxa"/>
            <w:tcBorders>
              <w:top w:val="single" w:color="auto" w:sz="4" w:space="0"/>
              <w:left w:val="nil"/>
              <w:bottom w:val="single" w:color="auto" w:sz="4" w:space="0"/>
              <w:right w:val="single" w:color="auto" w:sz="4" w:space="0"/>
            </w:tcBorders>
            <w:noWrap w:val="0"/>
            <w:vAlign w:val="top"/>
          </w:tcPr>
          <w:p>
            <w:pPr>
              <w:spacing w:line="460" w:lineRule="exact"/>
              <w:ind w:firstLine="0" w:firstLineChars="0"/>
              <w:jc w:val="center"/>
              <w:rPr>
                <w:rFonts w:hint="default" w:ascii="仿宋_GB2312" w:hAnsi="仿宋_GB2312" w:eastAsia="仿宋_GB2312"/>
                <w:sz w:val="24"/>
                <w:szCs w:val="24"/>
                <w:lang w:val="en-US" w:eastAsia="zh-CN"/>
              </w:rPr>
            </w:pPr>
            <w:r>
              <w:rPr>
                <w:rFonts w:ascii="仿宋_GB2312" w:hAnsi="仿宋_GB2312"/>
                <w:sz w:val="24"/>
                <w:szCs w:val="24"/>
              </w:rPr>
              <w:t>本年</w:t>
            </w:r>
            <w:r>
              <w:rPr>
                <w:rFonts w:hint="eastAsia" w:ascii="仿宋_GB2312" w:hAnsi="仿宋_GB2312"/>
                <w:sz w:val="24"/>
                <w:szCs w:val="24"/>
                <w:lang w:val="en-US" w:eastAsia="zh-CN"/>
              </w:rPr>
              <w:t>废止件数</w:t>
            </w:r>
          </w:p>
        </w:tc>
        <w:tc>
          <w:tcPr>
            <w:tcW w:w="2295" w:type="dxa"/>
            <w:tcBorders>
              <w:top w:val="single" w:color="auto" w:sz="4" w:space="0"/>
              <w:left w:val="nil"/>
              <w:bottom w:val="single" w:color="auto" w:sz="4" w:space="0"/>
              <w:right w:val="single" w:color="auto" w:sz="4" w:space="0"/>
            </w:tcBorders>
            <w:noWrap w:val="0"/>
            <w:vAlign w:val="top"/>
          </w:tcPr>
          <w:p>
            <w:pPr>
              <w:spacing w:line="460" w:lineRule="exact"/>
              <w:ind w:firstLine="0" w:firstLineChars="0"/>
              <w:jc w:val="center"/>
              <w:rPr>
                <w:rFonts w:hint="default" w:ascii="仿宋_GB2312" w:hAnsi="仿宋_GB2312" w:eastAsia="仿宋_GB2312"/>
                <w:sz w:val="24"/>
                <w:szCs w:val="24"/>
                <w:lang w:val="en-US" w:eastAsia="zh-CN"/>
              </w:rPr>
            </w:pPr>
            <w:r>
              <w:rPr>
                <w:rFonts w:hint="eastAsia" w:ascii="仿宋_GB2312" w:hAnsi="仿宋_GB2312"/>
                <w:sz w:val="24"/>
                <w:szCs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规    章</w:t>
            </w: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ascii="仿宋_GB2312" w:hAnsi="仿宋_GB2312" w:eastAsia="宋体"/>
                <w:color w:val="000000"/>
                <w:sz w:val="24"/>
                <w:szCs w:val="24"/>
              </w:rPr>
            </w:pPr>
            <w:r>
              <w:rPr>
                <w:rFonts w:hint="eastAsia" w:ascii="仿宋_GB2312" w:hAnsi="仿宋_GB2312"/>
                <w:color w:val="000000"/>
                <w:sz w:val="24"/>
                <w:szCs w:val="24"/>
                <w:lang w:val="en-US" w:eastAsia="zh-CN"/>
              </w:rPr>
              <w:t>行政</w:t>
            </w:r>
            <w:r>
              <w:rPr>
                <w:rFonts w:ascii="仿宋_GB2312" w:hAnsi="仿宋_GB2312"/>
                <w:color w:val="000000"/>
                <w:sz w:val="24"/>
                <w:szCs w:val="24"/>
              </w:rPr>
              <w:t>规范性文件</w:t>
            </w:r>
          </w:p>
          <w:p>
            <w:pPr>
              <w:spacing w:line="300" w:lineRule="exact"/>
              <w:ind w:firstLine="0" w:firstLineChars="0"/>
              <w:jc w:val="center"/>
              <w:rPr>
                <w:rFonts w:ascii="仿宋_GB2312" w:hAnsi="仿宋_GB2312"/>
                <w:color w:val="000000"/>
                <w:sz w:val="24"/>
                <w:szCs w:val="24"/>
              </w:rPr>
            </w:pP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default"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3</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default"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default"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80"/>
              <w:jc w:val="center"/>
              <w:rPr>
                <w:rFonts w:ascii="仿宋_GB2312" w:hAnsi="仿宋_GB2312"/>
                <w:color w:val="000000"/>
                <w:sz w:val="24"/>
                <w:szCs w:val="24"/>
              </w:rPr>
            </w:pPr>
            <w:r>
              <w:rPr>
                <w:rFonts w:ascii="仿宋_GB2312" w:hAnsi="仿宋_GB2312"/>
                <w:color w:val="00000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信息内容</w:t>
            </w: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上一年项目数量</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本年增/减</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行政许可</w:t>
            </w: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480"/>
              <w:jc w:val="center"/>
              <w:rPr>
                <w:rFonts w:ascii="仿宋_GB2312" w:hAnsi="仿宋_GB2312"/>
                <w:color w:val="000000"/>
                <w:sz w:val="24"/>
                <w:szCs w:val="24"/>
              </w:rPr>
            </w:pPr>
            <w:r>
              <w:rPr>
                <w:rFonts w:ascii="仿宋_GB2312" w:hAnsi="仿宋_GB2312"/>
                <w:color w:val="00000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信息内容</w:t>
            </w: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上一年项目数量</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本年增/减</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行政处罚</w:t>
            </w: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行政强制</w:t>
            </w:r>
          </w:p>
        </w:tc>
        <w:tc>
          <w:tcPr>
            <w:tcW w:w="2460"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202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2295" w:type="dxa"/>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eastAsia="宋体"/>
                <w:color w:val="000000"/>
                <w:sz w:val="24"/>
                <w:szCs w:val="24"/>
              </w:rPr>
            </w:pPr>
            <w:r>
              <w:rPr>
                <w:rFonts w:hint="eastAsia" w:ascii="仿宋_GB2312" w:hAnsi="仿宋_GB2312" w:eastAsia="宋体"/>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480"/>
              <w:jc w:val="center"/>
              <w:rPr>
                <w:rFonts w:ascii="仿宋_GB2312" w:hAnsi="仿宋_GB2312"/>
                <w:color w:val="000000"/>
                <w:sz w:val="24"/>
                <w:szCs w:val="24"/>
              </w:rPr>
            </w:pPr>
            <w:r>
              <w:rPr>
                <w:rFonts w:ascii="仿宋_GB2312" w:hAnsi="仿宋_GB2312"/>
                <w:color w:val="00000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4"/>
                <w:szCs w:val="24"/>
              </w:rPr>
            </w:pPr>
            <w:r>
              <w:rPr>
                <w:rFonts w:ascii="仿宋_GB2312" w:hAnsi="仿宋_GB2312"/>
                <w:color w:val="000000"/>
                <w:sz w:val="24"/>
                <w:szCs w:val="24"/>
              </w:rPr>
              <w:t>信息内容</w:t>
            </w:r>
          </w:p>
        </w:tc>
        <w:tc>
          <w:tcPr>
            <w:tcW w:w="6780" w:type="dxa"/>
            <w:gridSpan w:val="3"/>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default"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本年收费金额（万元）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0" w:firstLineChars="0"/>
              <w:jc w:val="center"/>
              <w:rPr>
                <w:rFonts w:ascii="仿宋_GB2312" w:hAnsi="仿宋_GB2312"/>
                <w:color w:val="000000"/>
                <w:sz w:val="21"/>
                <w:szCs w:val="21"/>
              </w:rPr>
            </w:pPr>
            <w:r>
              <w:rPr>
                <w:rFonts w:hint="eastAsia" w:ascii="仿宋_GB2312" w:hAnsi="仿宋_GB2312"/>
                <w:color w:val="000000"/>
                <w:sz w:val="24"/>
                <w:szCs w:val="24"/>
              </w:rPr>
              <w:t>行政事业性收费</w:t>
            </w:r>
          </w:p>
        </w:tc>
        <w:tc>
          <w:tcPr>
            <w:tcW w:w="6780" w:type="dxa"/>
            <w:gridSpan w:val="3"/>
            <w:tcBorders>
              <w:top w:val="single" w:color="auto" w:sz="4" w:space="0"/>
              <w:left w:val="nil"/>
              <w:bottom w:val="single" w:color="auto" w:sz="4" w:space="0"/>
              <w:right w:val="single" w:color="auto" w:sz="4" w:space="0"/>
            </w:tcBorders>
            <w:noWrap w:val="0"/>
            <w:vAlign w:val="center"/>
          </w:tcPr>
          <w:p>
            <w:pPr>
              <w:spacing w:line="460" w:lineRule="exact"/>
              <w:ind w:firstLine="0" w:firstLineChars="0"/>
              <w:jc w:val="center"/>
              <w:rPr>
                <w:rFonts w:hint="eastAsia" w:ascii="仿宋_GB2312" w:hAnsi="仿宋_GB2312" w:eastAsia="宋体"/>
                <w:color w:val="000000"/>
                <w:sz w:val="24"/>
                <w:szCs w:val="24"/>
                <w:lang w:val="en-US" w:eastAsia="zh-CN"/>
              </w:rPr>
            </w:pPr>
            <w:r>
              <w:rPr>
                <w:rFonts w:hint="eastAsia" w:ascii="仿宋_GB2312" w:hAnsi="仿宋_GB2312" w:eastAsia="宋体"/>
                <w:color w:val="000000"/>
                <w:sz w:val="24"/>
                <w:szCs w:val="24"/>
                <w:lang w:val="en-US" w:eastAsia="zh-CN"/>
              </w:rPr>
              <w:t>0</w:t>
            </w:r>
          </w:p>
        </w:tc>
      </w:tr>
    </w:tbl>
    <w:p>
      <w:pPr>
        <w:spacing w:line="540" w:lineRule="exact"/>
        <w:ind w:firstLine="198" w:firstLineChars="62"/>
        <w:rPr>
          <w:rFonts w:hint="eastAsia" w:ascii="黑体" w:hAnsi="黑体" w:eastAsia="黑体"/>
          <w:color w:val="000000"/>
        </w:rPr>
      </w:pPr>
      <w:r>
        <w:rPr>
          <w:rFonts w:hint="eastAsia" w:ascii="黑体" w:hAnsi="黑体" w:eastAsia="黑体"/>
          <w:bCs/>
          <w:color w:val="000000"/>
        </w:rPr>
        <w:t>三、收到和处理政府信息公开申请情况</w:t>
      </w:r>
      <w:r>
        <w:rPr>
          <w:rFonts w:hint="eastAsia" w:ascii="黑体" w:hAnsi="黑体" w:eastAsia="黑体"/>
          <w:color w:val="000000"/>
        </w:rPr>
        <w:t xml:space="preserve"> </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196"/>
        <w:gridCol w:w="3201"/>
        <w:gridCol w:w="453"/>
        <w:gridCol w:w="503"/>
        <w:gridCol w:w="503"/>
        <w:gridCol w:w="503"/>
        <w:gridCol w:w="503"/>
        <w:gridCol w:w="51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8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ind w:firstLine="0" w:firstLineChars="0"/>
              <w:jc w:val="center"/>
              <w:rPr>
                <w:rFonts w:hint="eastAsia" w:ascii="仿宋_GB2312" w:hAnsi="仿宋_GB2312"/>
                <w:sz w:val="24"/>
                <w:szCs w:val="24"/>
              </w:rPr>
            </w:pPr>
            <w:r>
              <w:rPr>
                <w:rFonts w:hint="eastAsia" w:ascii="仿宋_GB2312" w:hAnsi="仿宋_GB2312"/>
                <w:sz w:val="24"/>
                <w:szCs w:val="24"/>
                <w:lang w:val="en-US" w:eastAsia="zh-CN"/>
              </w:rPr>
              <w:t>（本列数据的勾稽关系为：第一项加第二项之和，低于第三项加第四项之和）</w:t>
            </w:r>
          </w:p>
        </w:tc>
        <w:tc>
          <w:tcPr>
            <w:tcW w:w="201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sz w:val="24"/>
                <w:szCs w:val="24"/>
              </w:rPr>
            </w:pPr>
            <w:r>
              <w:rPr>
                <w:rFonts w:hint="eastAsia" w:ascii="仿宋_GB2312" w:hAnsi="仿宋_GB2312"/>
                <w:sz w:val="24"/>
                <w:szCs w:val="24"/>
                <w:lang w:val="en-US" w:eastAsia="zh-CN"/>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8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Times New Roman"/>
                <w:kern w:val="2"/>
                <w:sz w:val="24"/>
                <w:szCs w:val="24"/>
                <w:lang w:val="en-US" w:eastAsia="zh-CN" w:bidi="ar-SA"/>
              </w:rPr>
            </w:pPr>
          </w:p>
          <w:p>
            <w:pPr>
              <w:keepNext w:val="0"/>
              <w:keepLines w:val="0"/>
              <w:widowControl/>
              <w:suppressLineNumbers w:val="0"/>
              <w:ind w:left="0" w:leftChars="0" w:firstLine="0" w:firstLineChars="0"/>
              <w:jc w:val="both"/>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自然人</w:t>
            </w:r>
          </w:p>
        </w:tc>
        <w:tc>
          <w:tcPr>
            <w:tcW w:w="148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法人或其他组织</w:t>
            </w:r>
          </w:p>
        </w:tc>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8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48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Times New Roman"/>
                <w:kern w:val="2"/>
                <w:sz w:val="24"/>
                <w:szCs w:val="24"/>
                <w:lang w:val="en-US" w:eastAsia="zh-CN" w:bidi="ar-SA"/>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8" w:hRule="atLeast"/>
        </w:trPr>
        <w:tc>
          <w:tcPr>
            <w:tcW w:w="298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商业企业</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科研机构</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社会公益组织</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法律服务机构</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其他</w:t>
            </w: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98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一、本年新收政府信息公开申请数量</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98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二、上年结转政府信息公开申请数量</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三、本年度办理结果</w:t>
            </w:r>
          </w:p>
        </w:tc>
        <w:tc>
          <w:tcPr>
            <w:tcW w:w="25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both"/>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（一）</w:t>
            </w:r>
            <w:r>
              <w:rPr>
                <w:rFonts w:hint="eastAsia" w:ascii="仿宋_GB2312" w:hAnsi="仿宋_GB2312" w:cs="Times New Roman"/>
                <w:kern w:val="2"/>
                <w:sz w:val="24"/>
                <w:szCs w:val="24"/>
                <w:lang w:val="en-US" w:eastAsia="zh-CN" w:bidi="ar-SA"/>
              </w:rPr>
              <w:t>予</w:t>
            </w:r>
            <w:r>
              <w:rPr>
                <w:rFonts w:hint="eastAsia" w:ascii="仿宋_GB2312" w:hAnsi="仿宋_GB2312" w:eastAsia="仿宋_GB2312" w:cs="Times New Roman"/>
                <w:kern w:val="2"/>
                <w:sz w:val="24"/>
                <w:szCs w:val="24"/>
                <w:lang w:val="en-US" w:eastAsia="zh-CN" w:bidi="ar-SA"/>
              </w:rPr>
              <w:t>以公开</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25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（二）部分公开（区分处理的，只计这一情形，不计其他情形）</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（三）不予公开</w:t>
            </w: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1.属于国家机密</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2其他法律行政法规禁止公开</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3.危及“三安全一稳定”</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4.保护第三方合法权益</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5.属于三类内部事务信息</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6.属于四类过程性信息</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7.属于行政执法案卷</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8.属于行政查询事项</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（四）无法提供</w:t>
            </w: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1.本机关不掌握相关政府信息</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2.没有现成信息需要另行制</w:t>
            </w:r>
            <w:r>
              <w:rPr>
                <w:rFonts w:hint="eastAsia" w:ascii="仿宋_GB2312" w:hAnsi="仿宋_GB2312" w:cs="Times New Roman"/>
                <w:kern w:val="2"/>
                <w:sz w:val="24"/>
                <w:szCs w:val="24"/>
                <w:lang w:val="en-US" w:eastAsia="zh-CN" w:bidi="ar-SA"/>
              </w:rPr>
              <w:t>作</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3.补正后申请内容仍不明确</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（五）不予办理</w:t>
            </w: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1.信访举报投诉类申请</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2.重复申请</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3.要求提供公开出版物</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4.无正当理由大量反复申请</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5.要求行政机关确认或重新出具已获取信息</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（六）其他处理</w:t>
            </w: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1.申请人无正当理由逾期不补正、行政机关不在处理其政府信息公开申请</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Times New Roman"/>
                <w:kern w:val="2"/>
                <w:sz w:val="24"/>
                <w:szCs w:val="24"/>
                <w:lang w:val="en-US" w:eastAsia="zh-CN" w:bidi="ar-SA"/>
              </w:rPr>
            </w:pPr>
          </w:p>
        </w:tc>
        <w:tc>
          <w:tcPr>
            <w:tcW w:w="1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2.申请人逾期未按收费通知要求缴纳费用、行政机关不再处理其政府信息公开申请</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Times New Roman"/>
                <w:kern w:val="2"/>
                <w:sz w:val="24"/>
                <w:szCs w:val="24"/>
                <w:lang w:val="en-US" w:eastAsia="zh-CN" w:bidi="ar-SA"/>
              </w:rPr>
            </w:pPr>
          </w:p>
        </w:tc>
        <w:tc>
          <w:tcPr>
            <w:tcW w:w="25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（七）总计</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98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四、结转下年度继续处理</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cs="Times New Roman"/>
                <w:kern w:val="2"/>
                <w:sz w:val="24"/>
                <w:szCs w:val="24"/>
                <w:lang w:val="en-US" w:eastAsia="zh-CN" w:bidi="ar-SA"/>
              </w:rPr>
              <w:t>0</w:t>
            </w:r>
          </w:p>
        </w:tc>
      </w:tr>
    </w:tbl>
    <w:p>
      <w:pPr>
        <w:spacing w:line="540" w:lineRule="exact"/>
        <w:ind w:firstLine="198" w:firstLineChars="62"/>
        <w:rPr>
          <w:rFonts w:hint="eastAsia" w:ascii="黑体" w:hAnsi="黑体" w:eastAsia="黑体"/>
          <w:color w:val="000000"/>
        </w:rPr>
      </w:pPr>
    </w:p>
    <w:p>
      <w:pPr>
        <w:spacing w:line="540" w:lineRule="exact"/>
        <w:ind w:firstLine="198" w:firstLineChars="62"/>
        <w:rPr>
          <w:rFonts w:hint="eastAsia" w:ascii="黑体" w:hAnsi="黑体" w:eastAsia="黑体"/>
          <w:bCs/>
          <w:color w:val="000000"/>
        </w:rPr>
      </w:pPr>
      <w:r>
        <w:rPr>
          <w:rFonts w:hint="eastAsia" w:ascii="黑体" w:hAnsi="黑体" w:eastAsia="黑体"/>
          <w:color w:val="000000"/>
        </w:rPr>
        <w:t>四、</w:t>
      </w:r>
      <w:r>
        <w:rPr>
          <w:rFonts w:hint="eastAsia" w:ascii="黑体" w:hAnsi="黑体" w:eastAsia="黑体"/>
          <w:bCs/>
          <w:color w:val="000000"/>
        </w:rPr>
        <w:t xml:space="preserve">政府信息公开行政复议、行政诉讼情况 </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68"/>
        <w:gridCol w:w="538"/>
        <w:gridCol w:w="583"/>
        <w:gridCol w:w="1005"/>
        <w:gridCol w:w="744"/>
        <w:gridCol w:w="538"/>
        <w:gridCol w:w="632"/>
        <w:gridCol w:w="462"/>
        <w:gridCol w:w="462"/>
        <w:gridCol w:w="462"/>
        <w:gridCol w:w="462"/>
        <w:gridCol w:w="462"/>
        <w:gridCol w:w="462"/>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2"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行政复议</w:t>
            </w:r>
            <w:r>
              <w:rPr>
                <w:rFonts w:ascii="仿宋_GB2312" w:hAnsi="仿宋_GB2312"/>
                <w:color w:val="000000"/>
                <w:sz w:val="24"/>
                <w:szCs w:val="24"/>
              </w:rPr>
              <w:br w:type="textWrapping"/>
            </w:r>
          </w:p>
        </w:tc>
        <w:tc>
          <w:tcPr>
            <w:tcW w:w="5148" w:type="dxa"/>
            <w:gridSpan w:val="10"/>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行政诉讼</w:t>
            </w:r>
            <w:r>
              <w:rPr>
                <w:rFonts w:ascii="仿宋_GB2312" w:hAnsi="仿宋_GB2312"/>
                <w:color w:val="00000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restart"/>
            <w:tcBorders>
              <w:top w:val="nil"/>
              <w:left w:val="single" w:color="auto" w:sz="4" w:space="0"/>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ascii="仿宋_GB2312" w:hAnsi="仿宋_GB2312"/>
                <w:color w:val="000000"/>
                <w:sz w:val="24"/>
                <w:szCs w:val="24"/>
              </w:rPr>
              <w:t>结果</w:t>
            </w:r>
            <w:r>
              <w:rPr>
                <w:rFonts w:hint="eastAsia" w:ascii="仿宋_GB2312" w:hAnsi="仿宋_GB2312"/>
                <w:color w:val="000000"/>
                <w:sz w:val="24"/>
                <w:szCs w:val="24"/>
                <w:lang w:val="en-US" w:eastAsia="zh-CN"/>
              </w:rPr>
              <w:t>维持</w:t>
            </w:r>
          </w:p>
        </w:tc>
        <w:tc>
          <w:tcPr>
            <w:tcW w:w="568" w:type="dxa"/>
            <w:vMerge w:val="restart"/>
            <w:tcBorders>
              <w:top w:val="nil"/>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结果纠正</w:t>
            </w:r>
          </w:p>
        </w:tc>
        <w:tc>
          <w:tcPr>
            <w:tcW w:w="538" w:type="dxa"/>
            <w:vMerge w:val="restart"/>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其他结果</w:t>
            </w:r>
          </w:p>
        </w:tc>
        <w:tc>
          <w:tcPr>
            <w:tcW w:w="583" w:type="dxa"/>
            <w:vMerge w:val="restart"/>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尚未审结</w:t>
            </w:r>
          </w:p>
        </w:tc>
        <w:tc>
          <w:tcPr>
            <w:tcW w:w="1005" w:type="dxa"/>
            <w:vMerge w:val="restart"/>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总计</w:t>
            </w:r>
          </w:p>
        </w:tc>
        <w:tc>
          <w:tcPr>
            <w:tcW w:w="2838" w:type="dxa"/>
            <w:gridSpan w:val="5"/>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shd w:val="clear" w:color="auto" w:fill="FFFFFF"/>
              </w:rPr>
              <w:t>未经复议直接起诉</w:t>
            </w:r>
          </w:p>
        </w:tc>
        <w:tc>
          <w:tcPr>
            <w:tcW w:w="2310" w:type="dxa"/>
            <w:gridSpan w:val="5"/>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仿宋_GB2312" w:hAnsi="仿宋_GB2312"/>
                <w:color w:val="000000"/>
                <w:sz w:val="24"/>
                <w:szCs w:val="24"/>
              </w:rPr>
            </w:pPr>
          </w:p>
        </w:tc>
        <w:tc>
          <w:tcPr>
            <w:tcW w:w="568"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仿宋_GB2312" w:hAnsi="仿宋_GB2312"/>
                <w:color w:val="000000"/>
                <w:sz w:val="24"/>
                <w:szCs w:val="24"/>
              </w:rPr>
            </w:pPr>
          </w:p>
        </w:tc>
        <w:tc>
          <w:tcPr>
            <w:tcW w:w="53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仿宋_GB2312" w:hAnsi="仿宋_GB2312"/>
                <w:color w:val="000000"/>
                <w:sz w:val="24"/>
                <w:szCs w:val="24"/>
              </w:rPr>
            </w:pPr>
          </w:p>
        </w:tc>
        <w:tc>
          <w:tcPr>
            <w:tcW w:w="583"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仿宋_GB2312" w:hAnsi="仿宋_GB2312"/>
                <w:color w:val="000000"/>
                <w:sz w:val="24"/>
                <w:szCs w:val="24"/>
              </w:rPr>
            </w:pPr>
          </w:p>
        </w:tc>
        <w:tc>
          <w:tcPr>
            <w:tcW w:w="100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仿宋_GB2312" w:hAnsi="仿宋_GB2312"/>
                <w:color w:val="000000"/>
                <w:sz w:val="24"/>
                <w:szCs w:val="24"/>
              </w:rPr>
            </w:pPr>
          </w:p>
        </w:tc>
        <w:tc>
          <w:tcPr>
            <w:tcW w:w="744"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eastAsia="zh-CN"/>
              </w:rPr>
            </w:pPr>
            <w:r>
              <w:rPr>
                <w:rFonts w:ascii="仿宋_GB2312" w:hAnsi="仿宋_GB2312"/>
                <w:color w:val="000000"/>
                <w:sz w:val="24"/>
                <w:szCs w:val="24"/>
              </w:rPr>
              <w:t>结果</w:t>
            </w:r>
            <w:r>
              <w:rPr>
                <w:rFonts w:hint="eastAsia" w:ascii="仿宋_GB2312" w:hAnsi="仿宋_GB2312"/>
                <w:color w:val="000000"/>
                <w:sz w:val="24"/>
                <w:szCs w:val="24"/>
                <w:lang w:val="en-US" w:eastAsia="zh-CN"/>
              </w:rPr>
              <w:t>维持</w:t>
            </w:r>
          </w:p>
        </w:tc>
        <w:tc>
          <w:tcPr>
            <w:tcW w:w="538"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结果纠正</w:t>
            </w:r>
          </w:p>
        </w:tc>
        <w:tc>
          <w:tcPr>
            <w:tcW w:w="63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其他结果</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尚未审结</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总计</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eastAsia="zh-CN"/>
              </w:rPr>
            </w:pPr>
            <w:r>
              <w:rPr>
                <w:rFonts w:ascii="仿宋_GB2312" w:hAnsi="仿宋_GB2312"/>
                <w:color w:val="000000"/>
                <w:sz w:val="24"/>
                <w:szCs w:val="24"/>
              </w:rPr>
              <w:t>结果</w:t>
            </w:r>
            <w:r>
              <w:rPr>
                <w:rFonts w:hint="eastAsia" w:ascii="仿宋_GB2312" w:hAnsi="仿宋_GB2312"/>
                <w:color w:val="000000"/>
                <w:sz w:val="24"/>
                <w:szCs w:val="24"/>
                <w:lang w:val="en-US" w:eastAsia="zh-CN"/>
              </w:rPr>
              <w:t>维持</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结果纠正</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其他结果</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尚未审结</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ascii="仿宋_GB2312" w:hAnsi="仿宋_GB2312"/>
                <w:color w:val="000000"/>
                <w:sz w:val="24"/>
                <w:szCs w:val="24"/>
              </w:rPr>
            </w:pPr>
            <w:r>
              <w:rPr>
                <w:rFonts w:ascii="仿宋_GB2312" w:hAnsi="仿宋_GB2312"/>
                <w:color w:val="000000"/>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tcBorders>
              <w:top w:val="nil"/>
              <w:left w:val="single" w:color="auto" w:sz="4" w:space="0"/>
              <w:bottom w:val="single" w:color="auto" w:sz="4" w:space="0"/>
              <w:right w:val="single" w:color="auto" w:sz="4" w:space="0"/>
            </w:tcBorders>
            <w:noWrap w:val="0"/>
            <w:vAlign w:val="center"/>
          </w:tcPr>
          <w:p>
            <w:pPr>
              <w:widowControl/>
              <w:ind w:firstLine="0" w:firstLineChars="0"/>
              <w:jc w:val="left"/>
              <w:rPr>
                <w:rFonts w:hint="eastAsia" w:ascii="仿宋_GB2312" w:hAnsi="仿宋_GB2312" w:eastAsia="宋体"/>
                <w:color w:val="000000"/>
                <w:sz w:val="24"/>
                <w:szCs w:val="24"/>
                <w:lang w:val="en-US" w:eastAsia="zh-CN"/>
              </w:rPr>
            </w:pPr>
            <w:r>
              <w:rPr>
                <w:rFonts w:hint="eastAsia" w:ascii="仿宋_GB2312" w:hAnsi="仿宋_GB2312" w:eastAsia="宋体"/>
                <w:color w:val="000000"/>
                <w:sz w:val="24"/>
                <w:szCs w:val="24"/>
                <w:lang w:val="en-US" w:eastAsia="zh-CN"/>
              </w:rPr>
              <w:t>0</w:t>
            </w:r>
          </w:p>
        </w:tc>
        <w:tc>
          <w:tcPr>
            <w:tcW w:w="568" w:type="dxa"/>
            <w:tcBorders>
              <w:top w:val="nil"/>
              <w:left w:val="nil"/>
              <w:bottom w:val="single" w:color="auto" w:sz="4" w:space="0"/>
              <w:right w:val="single" w:color="auto" w:sz="4" w:space="0"/>
            </w:tcBorders>
            <w:noWrap w:val="0"/>
            <w:vAlign w:val="center"/>
          </w:tcPr>
          <w:p>
            <w:pPr>
              <w:widowControl/>
              <w:ind w:firstLine="0" w:firstLineChars="0"/>
              <w:jc w:val="left"/>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538"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583"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hint="eastAsia" w:ascii="仿宋_GB2312" w:hAnsi="仿宋_GB2312" w:eastAsia="宋体"/>
                <w:color w:val="000000"/>
                <w:sz w:val="24"/>
                <w:szCs w:val="24"/>
                <w:lang w:val="en-US" w:eastAsia="zh-CN"/>
              </w:rPr>
            </w:pPr>
            <w:r>
              <w:rPr>
                <w:rFonts w:hint="eastAsia" w:ascii="仿宋_GB2312" w:hAnsi="仿宋_GB2312" w:eastAsia="宋体"/>
                <w:color w:val="000000"/>
                <w:sz w:val="24"/>
                <w:szCs w:val="24"/>
                <w:lang w:val="en-US" w:eastAsia="zh-CN"/>
              </w:rPr>
              <w:t>0</w:t>
            </w:r>
          </w:p>
        </w:tc>
        <w:tc>
          <w:tcPr>
            <w:tcW w:w="1005"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744"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538"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63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宋体"/>
                <w:color w:val="000000"/>
                <w:sz w:val="24"/>
                <w:szCs w:val="24"/>
                <w:lang w:eastAsia="zh-CN"/>
              </w:rPr>
            </w:pPr>
            <w:r>
              <w:rPr>
                <w:rFonts w:hint="eastAsia" w:ascii="仿宋_GB2312" w:hAnsi="仿宋_GB2312" w:eastAsia="宋体"/>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c>
          <w:tcPr>
            <w:tcW w:w="462" w:type="dxa"/>
            <w:tcBorders>
              <w:top w:val="single" w:color="auto" w:sz="4" w:space="0"/>
              <w:left w:val="nil"/>
              <w:bottom w:val="single" w:color="auto" w:sz="4" w:space="0"/>
              <w:right w:val="single" w:color="auto" w:sz="4" w:space="0"/>
            </w:tcBorders>
            <w:noWrap w:val="0"/>
            <w:vAlign w:val="center"/>
          </w:tcPr>
          <w:p>
            <w:pPr>
              <w:spacing w:line="540" w:lineRule="exact"/>
              <w:ind w:firstLine="0" w:firstLineChars="0"/>
              <w:jc w:val="center"/>
              <w:rPr>
                <w:rFonts w:hint="eastAsia"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0</w:t>
            </w:r>
          </w:p>
        </w:tc>
      </w:tr>
    </w:tbl>
    <w:p>
      <w:pPr>
        <w:widowControl/>
        <w:shd w:val="clear" w:color="auto" w:fill="FFFFFF"/>
        <w:ind w:firstLine="640"/>
        <w:rPr>
          <w:rFonts w:hint="eastAsia" w:ascii="黑体" w:hAnsi="黑体" w:eastAsia="黑体"/>
          <w:color w:val="000000"/>
        </w:rPr>
      </w:pPr>
      <w:r>
        <w:rPr>
          <w:rFonts w:hint="eastAsia" w:ascii="黑体" w:hAnsi="黑体" w:eastAsia="黑体"/>
          <w:bCs/>
          <w:color w:val="000000"/>
          <w:shd w:val="clear" w:color="auto"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7" w:lineRule="atLeast"/>
        <w:ind w:left="0" w:right="0" w:firstLine="420"/>
        <w:jc w:val="both"/>
        <w:rPr>
          <w:rFonts w:hint="eastAsia" w:ascii="宋体" w:hAnsi="宋体" w:eastAsia="宋体" w:cs="宋体"/>
          <w:sz w:val="28"/>
          <w:szCs w:val="28"/>
        </w:rPr>
      </w:pPr>
      <w:r>
        <w:rPr>
          <w:rFonts w:hint="eastAsia" w:ascii="宋体" w:hAnsi="宋体" w:eastAsia="宋体" w:cs="宋体"/>
          <w:color w:val="333333"/>
          <w:kern w:val="0"/>
          <w:sz w:val="28"/>
          <w:szCs w:val="28"/>
          <w:shd w:val="clear" w:color="auto" w:fill="FFFFFF"/>
          <w:lang w:val="en-US" w:eastAsia="zh-CN" w:bidi="ar"/>
        </w:rPr>
        <w:t>2022年，我委按照修订后的《中华人民共和国政府信息公开条例》，切实推进信息公开工作，提高了社会公众对我委工作的认识程度，提升了工作的透明度。但仍然存在一些不足：一是个别信息公开的时效性不强；二是信息公开保障措施还不够完善，</w:t>
      </w:r>
      <w:r>
        <w:rPr>
          <w:rFonts w:hint="default" w:ascii="宋体" w:hAnsi="宋体" w:eastAsia="宋体" w:cs="宋体"/>
          <w:color w:val="333333"/>
          <w:kern w:val="0"/>
          <w:sz w:val="28"/>
          <w:szCs w:val="28"/>
          <w:shd w:val="clear" w:color="auto" w:fill="FFFFFF"/>
          <w:lang w:val="en-US" w:eastAsia="zh-CN" w:bidi="ar"/>
        </w:rPr>
        <w:t>信息公开的保密、审核、检查等工作制度需要进一步健全</w:t>
      </w:r>
      <w:r>
        <w:rPr>
          <w:rFonts w:hint="eastAsia" w:ascii="宋体" w:hAnsi="宋体" w:eastAsia="宋体" w:cs="宋体"/>
          <w:color w:val="333333"/>
          <w:kern w:val="0"/>
          <w:sz w:val="28"/>
          <w:szCs w:val="28"/>
          <w:shd w:val="clear" w:color="auto"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7" w:lineRule="atLeast"/>
        <w:ind w:left="0" w:right="0" w:firstLine="420"/>
        <w:jc w:val="both"/>
        <w:rPr>
          <w:rFonts w:hint="eastAsia" w:ascii="宋体" w:hAnsi="宋体" w:eastAsia="宋体" w:cs="宋体"/>
          <w:sz w:val="28"/>
          <w:szCs w:val="28"/>
        </w:rPr>
      </w:pPr>
      <w:r>
        <w:rPr>
          <w:rFonts w:hint="eastAsia" w:ascii="宋体" w:hAnsi="宋体" w:eastAsia="宋体" w:cs="宋体"/>
          <w:color w:val="333333"/>
          <w:kern w:val="0"/>
          <w:sz w:val="28"/>
          <w:szCs w:val="28"/>
          <w:shd w:val="clear" w:color="auto" w:fill="FFFFFF"/>
          <w:lang w:val="en-US" w:eastAsia="zh-CN" w:bidi="ar"/>
        </w:rPr>
        <w:t>（一）进一步强化落实，及时提供，定期维护，确保信息公开按照既定的工作有序进行。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7" w:lineRule="atLeast"/>
        <w:ind w:left="0" w:right="0" w:firstLine="420"/>
        <w:jc w:val="both"/>
        <w:rPr>
          <w:rFonts w:hint="eastAsia" w:ascii="宋体" w:hAnsi="宋体" w:eastAsia="宋体" w:cs="宋体"/>
          <w:color w:val="333333"/>
          <w:kern w:val="0"/>
          <w:sz w:val="28"/>
          <w:szCs w:val="28"/>
          <w:shd w:val="clear" w:color="auto" w:fill="FFFFFF"/>
          <w:lang w:val="en-US" w:eastAsia="zh-CN" w:bidi="ar"/>
        </w:rPr>
      </w:pPr>
      <w:r>
        <w:rPr>
          <w:rFonts w:hint="eastAsia" w:ascii="宋体" w:hAnsi="宋体" w:eastAsia="宋体" w:cs="宋体"/>
          <w:color w:val="333333"/>
          <w:kern w:val="0"/>
          <w:sz w:val="28"/>
          <w:szCs w:val="28"/>
          <w:shd w:val="clear" w:color="auto" w:fill="FFFFFF"/>
          <w:lang w:val="en-US" w:eastAsia="zh-CN" w:bidi="ar"/>
        </w:rPr>
        <w:t xml:space="preserve">（二）加强信息公开工作机制建设,健全监督考核机制,采取有力措施,进一步推进我委信息公开工作全面深入开展。 </w:t>
      </w:r>
    </w:p>
    <w:p>
      <w:pPr>
        <w:widowControl/>
        <w:shd w:val="clear" w:color="auto" w:fill="FFFFFF"/>
        <w:ind w:firstLine="640"/>
        <w:rPr>
          <w:rFonts w:hint="eastAsia" w:ascii="仿宋_GB2312" w:hAnsi="仿宋_GB2312"/>
          <w:color w:val="000000"/>
          <w:kern w:val="0"/>
        </w:rPr>
      </w:pPr>
      <w:r>
        <w:rPr>
          <w:rFonts w:hint="eastAsia" w:ascii="黑体" w:hAnsi="黑体" w:eastAsia="黑体"/>
          <w:bCs/>
          <w:color w:val="000000"/>
          <w:kern w:val="0"/>
          <w:shd w:val="clear" w:color="auto"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left"/>
      </w:pPr>
      <w:r>
        <w:rPr>
          <w:rFonts w:hint="eastAsia" w:ascii="宋体" w:hAnsi="宋体" w:eastAsia="宋体" w:cs="宋体"/>
          <w:color w:val="333333"/>
          <w:kern w:val="0"/>
          <w:sz w:val="28"/>
          <w:szCs w:val="28"/>
          <w:shd w:val="clear" w:color="auto" w:fill="FFFFFF"/>
          <w:lang w:val="en-US" w:eastAsia="zh-CN" w:bidi="ar"/>
        </w:rPr>
        <w:t>2022年度，我委无收取信息处理费情况</w:t>
      </w:r>
      <w:r>
        <w:rPr>
          <w:rFonts w:hint="eastAsia" w:ascii="仿宋" w:hAnsi="仿宋" w:eastAsia="仿宋" w:cs="仿宋"/>
          <w:b w:val="0"/>
          <w:bCs w:val="0"/>
          <w:i w:val="0"/>
          <w:iCs w:val="0"/>
          <w:caps w:val="0"/>
          <w:color w:val="2B2B2B"/>
          <w:spacing w:val="0"/>
          <w:kern w:val="0"/>
          <w:sz w:val="32"/>
          <w:szCs w:val="32"/>
          <w:shd w:val="clear" w:color="auto" w:fill="FFFFFF"/>
          <w:lang w:val="en-US" w:eastAsia="zh-CN" w:bidi="ar"/>
        </w:rPr>
        <w:t>。</w:t>
      </w:r>
    </w:p>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BFE5DA-BE8E-46FD-8F2B-51E1E96BBA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embedRegular r:id="rId2" w:fontKey="{8E089465-DA56-450B-8DEC-95FEFA78F95B}"/>
  </w:font>
  <w:font w:name="方正小标宋_GBK">
    <w:panose1 w:val="02000000000000000000"/>
    <w:charset w:val="86"/>
    <w:family w:val="script"/>
    <w:pitch w:val="default"/>
    <w:sig w:usb0="A00002BF" w:usb1="38CF7CFA" w:usb2="00082016" w:usb3="00000000" w:csb0="00040001" w:csb1="00000000"/>
    <w:embedRegular r:id="rId3" w:fontKey="{DEF9A70B-FA40-4C1B-BA70-FF271B278F27}"/>
  </w:font>
  <w:font w:name="方正小标宋简体">
    <w:panose1 w:val="02000000000000000000"/>
    <w:charset w:val="86"/>
    <w:family w:val="auto"/>
    <w:pitch w:val="default"/>
    <w:sig w:usb0="00000001" w:usb1="08000000" w:usb2="00000000" w:usb3="00000000" w:csb0="00040000" w:csb1="00000000"/>
    <w:embedRegular r:id="rId4" w:fontKey="{00C39D6C-8287-42B5-82F3-38F756D8A464}"/>
  </w:font>
  <w:font w:name="仿宋">
    <w:panose1 w:val="02010609060101010101"/>
    <w:charset w:val="86"/>
    <w:family w:val="auto"/>
    <w:pitch w:val="default"/>
    <w:sig w:usb0="800002BF" w:usb1="38CF7CFA" w:usb2="00000016" w:usb3="00000000" w:csb0="00040001" w:csb1="00000000"/>
    <w:embedRegular r:id="rId5" w:fontKey="{A9341CE1-7698-476E-893A-446DCAF604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B57D3"/>
    <w:multiLevelType w:val="multilevel"/>
    <w:tmpl w:val="420B57D3"/>
    <w:lvl w:ilvl="0" w:tentative="0">
      <w:start w:val="1"/>
      <w:numFmt w:val="japaneseCounting"/>
      <w:lvlText w:val="%1、"/>
      <w:lvlJc w:val="left"/>
      <w:pPr>
        <w:ind w:left="1440" w:hanging="720"/>
      </w:pPr>
      <w:rPr>
        <w:rFonts w:hint="default" w:ascii="Times New Roman" w:hAnsi="Times New Roman" w:cs="Times New Roman"/>
      </w:rPr>
    </w:lvl>
    <w:lvl w:ilvl="1" w:tentative="0">
      <w:start w:val="1"/>
      <w:numFmt w:val="lowerLetter"/>
      <w:lvlText w:val="%2)"/>
      <w:lvlJc w:val="left"/>
      <w:pPr>
        <w:ind w:left="1560" w:hanging="420"/>
      </w:pPr>
      <w:rPr>
        <w:rFonts w:hint="default" w:ascii="Times New Roman" w:hAnsi="Times New Roman" w:cs="Times New Roman"/>
      </w:rPr>
    </w:lvl>
    <w:lvl w:ilvl="2" w:tentative="0">
      <w:start w:val="1"/>
      <w:numFmt w:val="lowerRoman"/>
      <w:lvlText w:val="%3."/>
      <w:lvlJc w:val="right"/>
      <w:pPr>
        <w:ind w:left="1980" w:hanging="420"/>
      </w:pPr>
      <w:rPr>
        <w:rFonts w:hint="default" w:ascii="Times New Roman" w:hAnsi="Times New Roman" w:cs="Times New Roman"/>
      </w:rPr>
    </w:lvl>
    <w:lvl w:ilvl="3" w:tentative="0">
      <w:start w:val="1"/>
      <w:numFmt w:val="decimal"/>
      <w:lvlText w:val="%4."/>
      <w:lvlJc w:val="left"/>
      <w:pPr>
        <w:ind w:left="2400" w:hanging="420"/>
      </w:pPr>
      <w:rPr>
        <w:rFonts w:hint="default" w:ascii="Times New Roman" w:hAnsi="Times New Roman" w:cs="Times New Roman"/>
      </w:rPr>
    </w:lvl>
    <w:lvl w:ilvl="4" w:tentative="0">
      <w:start w:val="1"/>
      <w:numFmt w:val="lowerLetter"/>
      <w:lvlText w:val="%5)"/>
      <w:lvlJc w:val="left"/>
      <w:pPr>
        <w:ind w:left="2820" w:hanging="420"/>
      </w:pPr>
      <w:rPr>
        <w:rFonts w:hint="default" w:ascii="Times New Roman" w:hAnsi="Times New Roman" w:cs="Times New Roman"/>
      </w:rPr>
    </w:lvl>
    <w:lvl w:ilvl="5" w:tentative="0">
      <w:start w:val="1"/>
      <w:numFmt w:val="lowerRoman"/>
      <w:lvlText w:val="%6."/>
      <w:lvlJc w:val="right"/>
      <w:pPr>
        <w:ind w:left="3240" w:hanging="420"/>
      </w:pPr>
      <w:rPr>
        <w:rFonts w:hint="default" w:ascii="Times New Roman" w:hAnsi="Times New Roman" w:cs="Times New Roman"/>
      </w:rPr>
    </w:lvl>
    <w:lvl w:ilvl="6" w:tentative="0">
      <w:start w:val="1"/>
      <w:numFmt w:val="decimal"/>
      <w:lvlText w:val="%7."/>
      <w:lvlJc w:val="left"/>
      <w:pPr>
        <w:ind w:left="3660" w:hanging="420"/>
      </w:pPr>
      <w:rPr>
        <w:rFonts w:hint="default" w:ascii="Times New Roman" w:hAnsi="Times New Roman" w:cs="Times New Roman"/>
      </w:rPr>
    </w:lvl>
    <w:lvl w:ilvl="7" w:tentative="0">
      <w:start w:val="1"/>
      <w:numFmt w:val="lowerLetter"/>
      <w:lvlText w:val="%8)"/>
      <w:lvlJc w:val="left"/>
      <w:pPr>
        <w:ind w:left="4080" w:hanging="420"/>
      </w:pPr>
      <w:rPr>
        <w:rFonts w:hint="default" w:ascii="Times New Roman" w:hAnsi="Times New Roman" w:cs="Times New Roman"/>
      </w:rPr>
    </w:lvl>
    <w:lvl w:ilvl="8" w:tentative="0">
      <w:start w:val="1"/>
      <w:numFmt w:val="lowerRoman"/>
      <w:lvlText w:val="%9."/>
      <w:lvlJc w:val="right"/>
      <w:pPr>
        <w:ind w:left="450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ZWE2NzJiYWU3Zjg2MTE2Zjc2YzA4MmU0ZTE1YjcifQ=="/>
  </w:docVars>
  <w:rsids>
    <w:rsidRoot w:val="67627AEA"/>
    <w:rsid w:val="093A4032"/>
    <w:rsid w:val="0C3B0EEA"/>
    <w:rsid w:val="0EE94C18"/>
    <w:rsid w:val="1D2A33CE"/>
    <w:rsid w:val="2AE107F7"/>
    <w:rsid w:val="2ECD78C7"/>
    <w:rsid w:val="45A05EED"/>
    <w:rsid w:val="57EE3633"/>
    <w:rsid w:val="66AE7903"/>
    <w:rsid w:val="67627AEA"/>
    <w:rsid w:val="7592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2307</Words>
  <Characters>2414</Characters>
  <Lines>0</Lines>
  <Paragraphs>0</Paragraphs>
  <TotalTime>1</TotalTime>
  <ScaleCrop>false</ScaleCrop>
  <LinksUpToDate>false</LinksUpToDate>
  <CharactersWithSpaces>2426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2023-01-05T07:02:00Z</dcterms:created>
  <dc:creator>荒</dc:creator>
  <cp:lastModifiedBy>荒</cp:lastModifiedBy>
  <cp:lastPrinted>2023-01-11T01:29:00Z</cp:lastPrinted>
  <dcterms:modified xsi:type="dcterms:W3CDTF">2023-11-24T02:24:19Z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E6D32BF4260E4218B7087C8CA60A5FDA</vt:lpwstr>
  </property>
</Properties>
</file>