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lang w:val="en-US" w:eastAsia="zh-CN"/>
        </w:rPr>
        <w:t>高安市供销社2022年</w:t>
      </w:r>
      <w:r>
        <w:rPr>
          <w:rFonts w:hint="eastAsia" w:ascii="方正小标宋简体" w:hAnsi="方正小标宋简体" w:eastAsia="方正小标宋简体" w:cs="Times New Roman"/>
          <w:sz w:val="40"/>
          <w:szCs w:val="40"/>
        </w:rPr>
        <w:t>政府信息公开工作</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bCs/>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印发中华人民共和国政府信息公开工作年度报告格式的通知》（国办公开办函〔2021〕30号）要求，由高安市</w:t>
      </w:r>
      <w:r>
        <w:rPr>
          <w:rFonts w:hint="eastAsia" w:ascii="仿宋_GB2312" w:hAnsi="仿宋_GB2312" w:cs="仿宋_GB2312"/>
          <w:sz w:val="32"/>
          <w:szCs w:val="32"/>
          <w:lang w:eastAsia="zh-CN"/>
        </w:rPr>
        <w:t>供销社</w:t>
      </w:r>
      <w:r>
        <w:rPr>
          <w:rFonts w:hint="eastAsia" w:ascii="仿宋_GB2312" w:hAnsi="仿宋_GB2312" w:eastAsia="仿宋_GB2312" w:cs="仿宋_GB2312"/>
          <w:sz w:val="32"/>
          <w:szCs w:val="32"/>
        </w:rPr>
        <w:t>结合有关统计数据编制。本年度报告中所列数据的统计期限自202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年1月1日起至202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12月31日止。全文包括总体情况、主动公开政府信息情况、收到和处理政府信息公开申请情况、政府信息公开行政复议行政诉讼情况、存在的主要问题及改进情况、其他需要报告的事项。如对本报告有任何疑问，请与高安市</w:t>
      </w:r>
      <w:r>
        <w:rPr>
          <w:rFonts w:hint="eastAsia" w:ascii="仿宋_GB2312" w:hAnsi="仿宋_GB2312" w:cs="仿宋_GB2312"/>
          <w:sz w:val="32"/>
          <w:szCs w:val="32"/>
          <w:lang w:eastAsia="zh-CN"/>
        </w:rPr>
        <w:t>供销社办公室</w:t>
      </w:r>
      <w:r>
        <w:rPr>
          <w:rFonts w:hint="eastAsia" w:ascii="仿宋_GB2312" w:hAnsi="仿宋_GB2312" w:eastAsia="仿宋_GB2312" w:cs="仿宋_GB2312"/>
          <w:sz w:val="32"/>
          <w:szCs w:val="32"/>
        </w:rPr>
        <w:t>联系（电话：0795-521</w:t>
      </w:r>
      <w:r>
        <w:rPr>
          <w:rFonts w:hint="eastAsia" w:ascii="仿宋_GB2312" w:hAnsi="仿宋_GB2312" w:cs="仿宋_GB2312"/>
          <w:sz w:val="32"/>
          <w:szCs w:val="32"/>
          <w:lang w:val="en-US" w:eastAsia="zh-CN"/>
        </w:rPr>
        <w:t>2689</w:t>
      </w:r>
      <w:r>
        <w:rPr>
          <w:rFonts w:hint="eastAsia" w:ascii="仿宋_GB2312" w:hAnsi="仿宋_GB2312" w:eastAsia="仿宋_GB2312" w:cs="仿宋_GB2312"/>
          <w:sz w:val="32"/>
          <w:szCs w:val="32"/>
        </w:rPr>
        <w:t>，邮编：330800）。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bCs/>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楷体_GB2312" w:hAnsi="楷体_GB2312" w:eastAsia="楷体_GB2312" w:cs="楷体_GB2312"/>
          <w:b/>
          <w:bCs/>
          <w:i w:val="0"/>
          <w:caps w:val="0"/>
          <w:color w:val="000000"/>
          <w:spacing w:val="0"/>
          <w:sz w:val="32"/>
          <w:szCs w:val="32"/>
          <w:shd w:val="clear" w:color="auto" w:fill="FFFFFF"/>
          <w:lang w:eastAsia="zh-CN"/>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eastAsia="zh-CN"/>
        </w:rPr>
        <w:t>202</w:t>
      </w:r>
      <w:r>
        <w:rPr>
          <w:rFonts w:hint="eastAsia" w:ascii="仿宋_GB2312" w:hAnsi="仿宋_GB2312" w:cs="仿宋_GB2312"/>
          <w:b w:val="0"/>
          <w:bCs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年，供销社共发布政务公开信息</w:t>
      </w:r>
      <w:r>
        <w:rPr>
          <w:rFonts w:hint="eastAsia" w:ascii="仿宋_GB2312" w:hAnsi="仿宋_GB2312" w:cs="仿宋_GB2312"/>
          <w:b w:val="0"/>
          <w:bCs w:val="0"/>
          <w:i w:val="0"/>
          <w:caps w:val="0"/>
          <w:color w:val="000000"/>
          <w:spacing w:val="0"/>
          <w:sz w:val="32"/>
          <w:szCs w:val="32"/>
          <w:shd w:val="clear" w:color="auto" w:fill="FFFFFF"/>
          <w:lang w:val="en-US" w:eastAsia="zh-CN"/>
        </w:rPr>
        <w:t>78</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条，其中政策文件</w:t>
      </w:r>
      <w:r>
        <w:rPr>
          <w:rFonts w:hint="eastAsia" w:ascii="仿宋_GB2312" w:hAnsi="仿宋_GB2312" w:cs="仿宋_GB2312"/>
          <w:b w:val="0"/>
          <w:bCs w:val="0"/>
          <w:i w:val="0"/>
          <w:caps w:val="0"/>
          <w:color w:val="000000"/>
          <w:spacing w:val="0"/>
          <w:sz w:val="32"/>
          <w:szCs w:val="32"/>
          <w:shd w:val="clear" w:color="auto"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条，政策解读</w:t>
      </w:r>
      <w:r>
        <w:rPr>
          <w:rFonts w:hint="eastAsia" w:ascii="仿宋_GB2312" w:hAnsi="仿宋_GB2312" w:cs="仿宋_GB2312"/>
          <w:b w:val="0"/>
          <w:bCs w:val="0"/>
          <w:i w:val="0"/>
          <w:caps w:val="0"/>
          <w:color w:val="000000"/>
          <w:spacing w:val="0"/>
          <w:sz w:val="32"/>
          <w:szCs w:val="32"/>
          <w:shd w:val="clear" w:color="auto"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条，重大决策预公开全流程</w:t>
      </w:r>
      <w:r>
        <w:rPr>
          <w:rFonts w:hint="eastAsia" w:ascii="仿宋_GB2312" w:hAnsi="仿宋_GB2312" w:cs="仿宋_GB2312"/>
          <w:b w:val="0"/>
          <w:bCs w:val="0"/>
          <w:i w:val="0"/>
          <w:caps w:val="0"/>
          <w:color w:val="000000"/>
          <w:spacing w:val="0"/>
          <w:sz w:val="32"/>
          <w:szCs w:val="32"/>
          <w:shd w:val="clear" w:color="auto" w:fill="FFFFFF"/>
          <w:lang w:val="en-US" w:eastAsia="zh-CN"/>
        </w:rPr>
        <w:t>16</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条，会议公开4条，重大决策跟踪反馈和执行效果评估</w:t>
      </w:r>
      <w:r>
        <w:rPr>
          <w:rFonts w:hint="eastAsia" w:ascii="仿宋_GB2312" w:hAnsi="仿宋_GB2312" w:cs="仿宋_GB2312"/>
          <w:b w:val="0"/>
          <w:bCs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条，决策部署落实</w:t>
      </w:r>
      <w:r>
        <w:rPr>
          <w:rFonts w:hint="eastAsia" w:ascii="仿宋_GB2312" w:hAnsi="仿宋_GB2312" w:cs="仿宋_GB2312"/>
          <w:b w:val="0"/>
          <w:bCs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条，规划计划</w:t>
      </w:r>
      <w:r>
        <w:rPr>
          <w:rFonts w:hint="eastAsia" w:ascii="仿宋_GB2312" w:hAnsi="仿宋_GB2312" w:cs="仿宋_GB2312"/>
          <w:b w:val="0"/>
          <w:bCs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条，主要领导信息</w:t>
      </w:r>
      <w:r>
        <w:rPr>
          <w:rFonts w:hint="eastAsia" w:ascii="仿宋_GB2312" w:hAnsi="仿宋_GB2312" w:cs="仿宋_GB2312"/>
          <w:b w:val="0"/>
          <w:bCs w:val="0"/>
          <w:i w:val="0"/>
          <w:caps w:val="0"/>
          <w:color w:val="000000"/>
          <w:spacing w:val="0"/>
          <w:sz w:val="32"/>
          <w:szCs w:val="32"/>
          <w:shd w:val="clear" w:color="auto"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条，机构职能</w:t>
      </w:r>
      <w:r>
        <w:rPr>
          <w:rFonts w:hint="eastAsia" w:ascii="仿宋_GB2312" w:hAnsi="仿宋_GB2312" w:cs="仿宋_GB2312"/>
          <w:b w:val="0"/>
          <w:bCs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条，政务信息</w:t>
      </w:r>
      <w:r>
        <w:rPr>
          <w:rFonts w:hint="eastAsia" w:ascii="仿宋_GB2312" w:hAnsi="仿宋_GB2312" w:cs="仿宋_GB2312"/>
          <w:b w:val="0"/>
          <w:bCs w:val="0"/>
          <w:i w:val="0"/>
          <w:caps w:val="0"/>
          <w:color w:val="000000"/>
          <w:spacing w:val="0"/>
          <w:sz w:val="32"/>
          <w:szCs w:val="32"/>
          <w:shd w:val="clear" w:color="auto" w:fill="FFFFFF"/>
          <w:lang w:val="en-US" w:eastAsia="zh-CN"/>
        </w:rPr>
        <w:t>31</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条，人事信息</w:t>
      </w:r>
      <w:r>
        <w:rPr>
          <w:rFonts w:hint="eastAsia" w:ascii="仿宋_GB2312" w:hAnsi="仿宋_GB2312" w:cs="仿宋_GB2312"/>
          <w:b w:val="0"/>
          <w:bCs w:val="0"/>
          <w:i w:val="0"/>
          <w:caps w:val="0"/>
          <w:color w:val="000000"/>
          <w:spacing w:val="0"/>
          <w:sz w:val="32"/>
          <w:szCs w:val="32"/>
          <w:shd w:val="clear" w:color="auto"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条，财政信息2条，“六稳六保”信息4条</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楷体_GB2312" w:hAnsi="楷体_GB2312" w:eastAsia="楷体_GB2312" w:cs="楷体_GB2312"/>
          <w:b/>
          <w:bCs/>
          <w:i w:val="0"/>
          <w:caps w:val="0"/>
          <w:color w:val="000000"/>
          <w:spacing w:val="0"/>
          <w:sz w:val="32"/>
          <w:szCs w:val="32"/>
          <w:shd w:val="clear" w:color="auto" w:fill="FFFFFF"/>
          <w:lang w:eastAsia="zh-CN"/>
        </w:rPr>
        <w:t>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仿宋_GB2312" w:hAnsi="仿宋_GB2312" w:eastAsia="仿宋_GB2312" w:cs="仿宋_GB2312"/>
          <w:b w:val="0"/>
          <w:bCs w:val="0"/>
          <w:i w:val="0"/>
          <w:caps w:val="0"/>
          <w:color w:val="000000"/>
          <w:spacing w:val="0"/>
          <w:sz w:val="32"/>
          <w:szCs w:val="32"/>
          <w:shd w:val="clear" w:color="auto" w:fill="FFFFFF"/>
          <w:lang w:eastAsia="zh-CN"/>
        </w:rPr>
        <w:t>2022年我社全年共收到依申请公开0件，公开0件，不予公开0件，因政府信息依申请公开引起行政复议0件，行政诉讼0件。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楷体_GB2312" w:hAnsi="楷体_GB2312" w:eastAsia="楷体_GB2312" w:cs="楷体_GB2312"/>
          <w:b/>
          <w:bCs/>
          <w:i w:val="0"/>
          <w:caps w:val="0"/>
          <w:color w:val="000000"/>
          <w:spacing w:val="0"/>
          <w:sz w:val="32"/>
          <w:szCs w:val="32"/>
          <w:shd w:val="clear" w:color="auto" w:fill="FFFFFF"/>
          <w:lang w:eastAsia="zh-CN"/>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一是</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在政务公开内容上,坚持全面、及时、合法、真实地公开与群众切身利益的有关事项,上级有关文件精神,</w:t>
      </w:r>
      <w:r>
        <w:rPr>
          <w:rFonts w:hint="eastAsia" w:ascii="仿宋_GB2312" w:hAnsi="仿宋_GB2312" w:cs="仿宋_GB2312"/>
          <w:b w:val="0"/>
          <w:bCs w:val="0"/>
          <w:i w:val="0"/>
          <w:caps w:val="0"/>
          <w:color w:val="000000"/>
          <w:spacing w:val="0"/>
          <w:sz w:val="32"/>
          <w:szCs w:val="32"/>
          <w:shd w:val="clear" w:color="auto" w:fill="FFFFFF"/>
          <w:lang w:eastAsia="zh-CN"/>
        </w:rPr>
        <w:t>部门</w:t>
      </w:r>
      <w:r>
        <w:rPr>
          <w:rFonts w:hint="eastAsia" w:ascii="仿宋_GB2312" w:hAnsi="仿宋_GB2312" w:eastAsia="仿宋_GB2312" w:cs="仿宋_GB2312"/>
          <w:b w:val="0"/>
          <w:bCs w:val="0"/>
          <w:i w:val="0"/>
          <w:caps w:val="0"/>
          <w:color w:val="000000"/>
          <w:spacing w:val="0"/>
          <w:sz w:val="32"/>
          <w:szCs w:val="32"/>
          <w:shd w:val="clear" w:color="auto" w:fill="FFFFFF"/>
          <w:lang w:eastAsia="zh-CN"/>
        </w:rPr>
        <w:t>重要决策</w:t>
      </w:r>
      <w:r>
        <w:rPr>
          <w:rFonts w:hint="eastAsia" w:ascii="仿宋_GB2312" w:hAnsi="仿宋_GB2312" w:cs="仿宋_GB2312"/>
          <w:b w:val="0"/>
          <w:bCs w:val="0"/>
          <w:i w:val="0"/>
          <w:caps w:val="0"/>
          <w:color w:val="000000"/>
          <w:spacing w:val="0"/>
          <w:sz w:val="32"/>
          <w:szCs w:val="32"/>
          <w:shd w:val="clear" w:color="auto" w:fill="FFFFFF"/>
          <w:lang w:eastAsia="zh-CN"/>
        </w:rPr>
        <w:t>等。</w:t>
      </w:r>
      <w:r>
        <w:rPr>
          <w:rFonts w:hint="eastAsia" w:ascii="仿宋_GB2312" w:hAnsi="仿宋_GB2312" w:cs="仿宋_GB2312"/>
          <w:b/>
          <w:bCs/>
          <w:i w:val="0"/>
          <w:caps w:val="0"/>
          <w:color w:val="000000"/>
          <w:spacing w:val="0"/>
          <w:sz w:val="32"/>
          <w:szCs w:val="32"/>
          <w:shd w:val="clear" w:color="auto" w:fill="FFFFFF"/>
          <w:lang w:eastAsia="zh-CN"/>
        </w:rPr>
        <w:t>二是</w:t>
      </w:r>
      <w:r>
        <w:rPr>
          <w:rFonts w:hint="eastAsia" w:ascii="仿宋_GB2312" w:hAnsi="仿宋_GB2312" w:cs="仿宋_GB2312"/>
          <w:b w:val="0"/>
          <w:bCs w:val="0"/>
          <w:i w:val="0"/>
          <w:caps w:val="0"/>
          <w:color w:val="000000"/>
          <w:spacing w:val="0"/>
          <w:sz w:val="32"/>
          <w:szCs w:val="32"/>
          <w:shd w:val="clear" w:color="auto" w:fill="FFFFFF"/>
          <w:lang w:eastAsia="zh-CN"/>
        </w:rPr>
        <w:t>在政务公开程序上，</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严格执行政府信息公开</w:t>
      </w:r>
      <w:r>
        <w:rPr>
          <w:rFonts w:hint="eastAsia" w:ascii="仿宋_GB2312" w:hAnsi="仿宋_GB2312" w:cs="仿宋_GB2312"/>
          <w:b w:val="0"/>
          <w:bCs w:val="0"/>
          <w:i w:val="0"/>
          <w:caps w:val="0"/>
          <w:color w:val="000000"/>
          <w:spacing w:val="0"/>
          <w:sz w:val="32"/>
          <w:szCs w:val="32"/>
          <w:shd w:val="clear" w:color="auto" w:fill="FFFFFF"/>
          <w:lang w:eastAsia="zh-CN"/>
        </w:rPr>
        <w:t>“三审三校”制度、</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保密审查制度、审签制度、依申请公开制度</w:t>
      </w:r>
      <w:r>
        <w:rPr>
          <w:rFonts w:hint="eastAsia" w:ascii="仿宋_GB2312" w:hAnsi="仿宋_GB2312" w:cs="仿宋_GB2312"/>
          <w:b w:val="0"/>
          <w:bCs w:val="0"/>
          <w:i w:val="0"/>
          <w:caps w:val="0"/>
          <w:color w:val="000000"/>
          <w:spacing w:val="0"/>
          <w:sz w:val="32"/>
          <w:szCs w:val="32"/>
          <w:shd w:val="clear" w:color="auto" w:fill="FFFFFF"/>
          <w:lang w:eastAsia="zh-CN"/>
        </w:rPr>
        <w:t>等</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cs="仿宋_GB2312"/>
          <w:b w:val="0"/>
          <w:bCs w:val="0"/>
          <w:i w:val="0"/>
          <w:caps w:val="0"/>
          <w:color w:val="000000"/>
          <w:spacing w:val="0"/>
          <w:sz w:val="32"/>
          <w:szCs w:val="32"/>
          <w:shd w:val="clear" w:color="auto" w:fill="FFFFFF"/>
          <w:lang w:eastAsia="zh-CN"/>
        </w:rPr>
        <w:t>做到手续合规，</w:t>
      </w:r>
      <w:r>
        <w:rPr>
          <w:rFonts w:hint="eastAsia" w:ascii="仿宋_GB2312" w:hAnsi="仿宋_GB2312" w:eastAsia="仿宋_GB2312" w:cs="仿宋_GB2312"/>
          <w:b w:val="0"/>
          <w:bCs w:val="0"/>
          <w:i w:val="0"/>
          <w:caps w:val="0"/>
          <w:color w:val="000000"/>
          <w:spacing w:val="0"/>
          <w:sz w:val="32"/>
          <w:szCs w:val="32"/>
          <w:shd w:val="clear" w:color="auto" w:fill="FFFFFF"/>
          <w:lang w:eastAsia="zh-CN"/>
        </w:rPr>
        <w:t>2022年度未发生安全、泄密等事故</w:t>
      </w:r>
      <w:r>
        <w:rPr>
          <w:rFonts w:hint="eastAsia" w:ascii="仿宋_GB2312" w:hAnsi="仿宋_GB2312" w:cs="仿宋_GB2312"/>
          <w:b w:val="0"/>
          <w:bCs w:val="0"/>
          <w:i w:val="0"/>
          <w:caps w:val="0"/>
          <w:color w:val="000000"/>
          <w:spacing w:val="0"/>
          <w:sz w:val="32"/>
          <w:szCs w:val="32"/>
          <w:shd w:val="clear" w:color="auto" w:fill="FFFFFF"/>
          <w:lang w:eastAsia="zh-CN"/>
        </w:rPr>
        <w:t>。</w:t>
      </w:r>
      <w:r>
        <w:rPr>
          <w:rFonts w:hint="eastAsia" w:ascii="仿宋_GB2312" w:hAnsi="仿宋_GB2312" w:cs="仿宋_GB2312"/>
          <w:b/>
          <w:bCs/>
          <w:i w:val="0"/>
          <w:caps w:val="0"/>
          <w:color w:val="000000"/>
          <w:spacing w:val="0"/>
          <w:sz w:val="32"/>
          <w:szCs w:val="32"/>
          <w:shd w:val="clear" w:color="auto" w:fill="FFFFFF"/>
          <w:lang w:eastAsia="zh-CN"/>
        </w:rPr>
        <w:t>三是</w:t>
      </w:r>
      <w:r>
        <w:rPr>
          <w:rFonts w:hint="eastAsia" w:ascii="仿宋_GB2312" w:hAnsi="仿宋_GB2312" w:cs="仿宋_GB2312"/>
          <w:b w:val="0"/>
          <w:bCs w:val="0"/>
          <w:i w:val="0"/>
          <w:caps w:val="0"/>
          <w:color w:val="000000"/>
          <w:spacing w:val="0"/>
          <w:sz w:val="32"/>
          <w:szCs w:val="32"/>
          <w:shd w:val="clear" w:color="auto" w:fill="FFFFFF"/>
          <w:lang w:eastAsia="zh-CN"/>
        </w:rPr>
        <w:t>在政务公开反馈上，</w:t>
      </w:r>
      <w:r>
        <w:rPr>
          <w:rFonts w:hint="eastAsia" w:ascii="仿宋_GB2312" w:hAnsi="仿宋_GB2312" w:eastAsia="仿宋_GB2312" w:cs="仿宋_GB2312"/>
          <w:b w:val="0"/>
          <w:bCs w:val="0"/>
          <w:i w:val="0"/>
          <w:caps w:val="0"/>
          <w:color w:val="000000"/>
          <w:spacing w:val="0"/>
          <w:sz w:val="32"/>
          <w:szCs w:val="32"/>
          <w:shd w:val="clear" w:color="auto" w:fill="FFFFFF"/>
          <w:lang w:eastAsia="zh-CN"/>
        </w:rPr>
        <w:t>针对</w:t>
      </w:r>
      <w:r>
        <w:rPr>
          <w:rFonts w:hint="eastAsia" w:ascii="仿宋_GB2312" w:hAnsi="仿宋_GB2312" w:cs="仿宋_GB2312"/>
          <w:b w:val="0"/>
          <w:bCs w:val="0"/>
          <w:i w:val="0"/>
          <w:caps w:val="0"/>
          <w:color w:val="000000"/>
          <w:spacing w:val="0"/>
          <w:sz w:val="32"/>
          <w:szCs w:val="32"/>
          <w:shd w:val="clear" w:color="auto" w:fill="FFFFFF"/>
          <w:lang w:eastAsia="zh-CN"/>
        </w:rPr>
        <w:t>上级</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交办反馈的情况，确保第一时间纠正，全年未出现逾期修改的情况。</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楷体_GB2312" w:hAnsi="楷体_GB2312" w:eastAsia="楷体_GB2312" w:cs="楷体_GB2312"/>
          <w:b/>
          <w:bCs/>
          <w:i w:val="0"/>
          <w:caps w:val="0"/>
          <w:color w:val="000000"/>
          <w:spacing w:val="0"/>
          <w:sz w:val="32"/>
          <w:szCs w:val="32"/>
          <w:shd w:val="clear" w:color="auto" w:fill="FFFFFF"/>
          <w:lang w:val="en-US" w:eastAsia="zh-CN"/>
        </w:rPr>
        <w:t>政府信息公开</w:t>
      </w:r>
      <w:r>
        <w:rPr>
          <w:rFonts w:hint="eastAsia" w:ascii="楷体_GB2312" w:hAnsi="楷体_GB2312" w:eastAsia="楷体_GB2312" w:cs="楷体_GB2312"/>
          <w:b/>
          <w:bCs/>
          <w:i w:val="0"/>
          <w:caps w:val="0"/>
          <w:color w:val="000000"/>
          <w:spacing w:val="0"/>
          <w:sz w:val="32"/>
          <w:szCs w:val="32"/>
          <w:shd w:val="clear" w:color="auto" w:fill="FFFFFF"/>
          <w:lang w:eastAsia="zh-CN"/>
        </w:rPr>
        <w:t>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仿宋_GB2312" w:hAnsi="仿宋_GB2312" w:cs="仿宋_GB2312"/>
          <w:b w:val="0"/>
          <w:bCs w:val="0"/>
          <w:i w:val="0"/>
          <w:caps w:val="0"/>
          <w:color w:val="000000"/>
          <w:spacing w:val="0"/>
          <w:sz w:val="32"/>
          <w:szCs w:val="32"/>
          <w:shd w:val="clear" w:color="auto" w:fill="FFFFFF"/>
          <w:lang w:eastAsia="zh-CN"/>
        </w:rPr>
        <w:t>设置了政策文件、政策解读、重大决策预公开、政务信息、财政信息、“六稳六保”等多个专栏，</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及时完善政府信息公开专栏各版块内容更新和信息上传。不断深化重点领域信息公开，认真做好政策解读、舆情回应和公开平台建设，落实信息公开的各项要求，做好牵头协调工作，要求领导、机构、人员“三到位”。通过政务公开信息网站、公开栏、意见箱等多种形式，将各项重点工作办理依据、过程和结果向社会广泛公开，做到大事小事都晾出来、晒出来，真正让群众满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楷体_GB2312" w:hAnsi="楷体_GB2312" w:eastAsia="楷体_GB2312" w:cs="楷体_GB2312"/>
          <w:b/>
          <w:bCs/>
          <w:i w:val="0"/>
          <w:caps w:val="0"/>
          <w:color w:val="000000"/>
          <w:spacing w:val="0"/>
          <w:sz w:val="32"/>
          <w:szCs w:val="32"/>
          <w:shd w:val="clear" w:color="auto" w:fill="FFFFFF"/>
          <w:lang w:eastAsia="zh-CN"/>
        </w:rPr>
        <w:t>（五）监督保障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宋体" w:eastAsia="仿宋_GB2312" w:cs="仿宋_GB2312"/>
          <w:kern w:val="0"/>
          <w:sz w:val="32"/>
          <w:szCs w:val="32"/>
        </w:rPr>
      </w:pPr>
      <w:r>
        <w:rPr>
          <w:rFonts w:ascii="仿宋_GB2312" w:hAnsi="宋体" w:eastAsia="仿宋_GB2312" w:cs="仿宋_GB2312"/>
          <w:b/>
          <w:bCs/>
          <w:kern w:val="0"/>
          <w:sz w:val="32"/>
          <w:szCs w:val="32"/>
        </w:rPr>
        <w:t>一是</w:t>
      </w:r>
      <w:r>
        <w:rPr>
          <w:rFonts w:hint="eastAsia" w:ascii="仿宋_GB2312" w:hAnsi="宋体" w:eastAsia="仿宋_GB2312" w:cs="仿宋_GB2312"/>
          <w:kern w:val="0"/>
          <w:sz w:val="32"/>
          <w:szCs w:val="32"/>
        </w:rPr>
        <w:t>成立以</w:t>
      </w:r>
      <w:r>
        <w:rPr>
          <w:rFonts w:hint="eastAsia" w:ascii="仿宋_GB2312" w:hAnsi="宋体" w:cs="仿宋_GB2312"/>
          <w:kern w:val="0"/>
          <w:sz w:val="32"/>
          <w:szCs w:val="32"/>
          <w:lang w:eastAsia="zh-CN"/>
        </w:rPr>
        <w:t>党委</w:t>
      </w:r>
      <w:r>
        <w:rPr>
          <w:rFonts w:hint="eastAsia" w:ascii="仿宋_GB2312" w:hAnsi="宋体" w:eastAsia="仿宋_GB2312" w:cs="仿宋_GB2312"/>
          <w:kern w:val="0"/>
          <w:sz w:val="32"/>
          <w:szCs w:val="32"/>
        </w:rPr>
        <w:t>书记、主任任组长，</w:t>
      </w:r>
      <w:r>
        <w:rPr>
          <w:rFonts w:hint="eastAsia" w:ascii="仿宋_GB2312" w:hAnsi="宋体" w:cs="仿宋_GB2312"/>
          <w:kern w:val="0"/>
          <w:sz w:val="32"/>
          <w:szCs w:val="32"/>
          <w:lang w:eastAsia="zh-CN"/>
        </w:rPr>
        <w:t>班子成员</w:t>
      </w:r>
      <w:r>
        <w:rPr>
          <w:rFonts w:hint="eastAsia" w:ascii="仿宋_GB2312" w:hAnsi="宋体" w:eastAsia="仿宋_GB2312" w:cs="仿宋_GB2312"/>
          <w:kern w:val="0"/>
          <w:sz w:val="32"/>
          <w:szCs w:val="32"/>
        </w:rPr>
        <w:t>任副组长，各股室负责人为成员的领导小组。由办公室具体负责政府信息公开工作的组织协调，各有关股室按照各自职能负责提供需发布的信息，落实相关人员具体负责信息分类、收集、编制、报审、发布以及要情处理等工作。</w:t>
      </w:r>
      <w:r>
        <w:rPr>
          <w:rFonts w:hint="eastAsia" w:ascii="仿宋_GB2312" w:hAnsi="宋体" w:eastAsia="仿宋_GB2312" w:cs="仿宋_GB2312"/>
          <w:b/>
          <w:bCs/>
          <w:kern w:val="0"/>
          <w:sz w:val="32"/>
          <w:szCs w:val="32"/>
        </w:rPr>
        <w:t>二是</w:t>
      </w:r>
      <w:r>
        <w:rPr>
          <w:rFonts w:hint="eastAsia" w:ascii="仿宋_GB2312" w:hAnsi="宋体" w:eastAsia="仿宋_GB2312" w:cs="仿宋_GB2312"/>
          <w:kern w:val="0"/>
          <w:sz w:val="32"/>
          <w:szCs w:val="32"/>
        </w:rPr>
        <w:t>把政务公开工作纳入议事日程，明确信息公开的内容、形式和具体措施，落实专人负责组织、协调和推动机关政务信息公开工作顺利推进。</w:t>
      </w:r>
      <w:r>
        <w:rPr>
          <w:rFonts w:hint="eastAsia" w:ascii="仿宋_GB2312" w:hAnsi="宋体" w:eastAsia="仿宋_GB2312" w:cs="仿宋_GB2312"/>
          <w:b/>
          <w:bCs/>
          <w:kern w:val="0"/>
          <w:sz w:val="32"/>
          <w:szCs w:val="32"/>
        </w:rPr>
        <w:t>三是</w:t>
      </w:r>
      <w:r>
        <w:rPr>
          <w:rFonts w:hint="eastAsia" w:ascii="仿宋_GB2312" w:hAnsi="宋体" w:eastAsia="仿宋_GB2312" w:cs="仿宋_GB2312"/>
          <w:kern w:val="0"/>
          <w:sz w:val="32"/>
          <w:szCs w:val="32"/>
        </w:rPr>
        <w:t>培养专业的人员队伍，负责政府信息公开工作日常管理和维护，进一步健全工作机构，为政府信息公开工作提供更加坚实的组织保障。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4"/>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8"/>
        <w:gridCol w:w="648"/>
        <w:gridCol w:w="648"/>
        <w:gridCol w:w="648"/>
        <w:gridCol w:w="648"/>
        <w:gridCol w:w="648"/>
        <w:gridCol w:w="648"/>
        <w:gridCol w:w="649"/>
        <w:gridCol w:w="649"/>
        <w:gridCol w:w="650"/>
        <w:gridCol w:w="650"/>
        <w:gridCol w:w="650"/>
        <w:gridCol w:w="650"/>
        <w:gridCol w:w="650"/>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240" w:firstLineChars="100"/>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default" w:ascii="Times New Roman" w:hAnsi="Times New Roman" w:cs="Times New Roman"/>
          <w:sz w:val="32"/>
          <w:szCs w:val="32"/>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default" w:ascii="Times New Roman" w:hAnsi="Times New Roman" w:cs="Times New Roman"/>
          <w:sz w:val="32"/>
          <w:szCs w:val="32"/>
        </w:rPr>
      </w:pPr>
      <w:r>
        <w:rPr>
          <w:rFonts w:hint="eastAsia" w:ascii="仿宋_GB2312" w:hAnsi="Times New Roman" w:cs="仿宋_GB2312"/>
          <w:sz w:val="32"/>
          <w:szCs w:val="32"/>
          <w:lang w:eastAsia="zh-CN"/>
        </w:rPr>
        <w:t>供销社</w:t>
      </w:r>
      <w:r>
        <w:rPr>
          <w:rFonts w:hint="eastAsia" w:ascii="仿宋_GB2312" w:hAnsi="Times New Roman" w:eastAsia="仿宋_GB2312" w:cs="仿宋_GB2312"/>
          <w:sz w:val="32"/>
          <w:szCs w:val="32"/>
        </w:rPr>
        <w:t>政府信息公开工作主要存在以下问题：</w:t>
      </w:r>
      <w:r>
        <w:rPr>
          <w:rStyle w:val="6"/>
          <w:rFonts w:hint="eastAsia" w:ascii="仿宋_GB2312" w:hAnsi="Times New Roman" w:eastAsia="仿宋_GB2312" w:cs="仿宋_GB2312"/>
          <w:sz w:val="32"/>
          <w:szCs w:val="32"/>
        </w:rPr>
        <w:t>一是</w:t>
      </w:r>
      <w:r>
        <w:rPr>
          <w:rFonts w:hint="eastAsia" w:ascii="仿宋_GB2312" w:hAnsi="Times New Roman" w:eastAsia="仿宋_GB2312" w:cs="仿宋_GB2312"/>
          <w:sz w:val="32"/>
          <w:szCs w:val="32"/>
        </w:rPr>
        <w:t>政府信息公开</w:t>
      </w:r>
      <w:r>
        <w:rPr>
          <w:rFonts w:hint="eastAsia" w:ascii="仿宋_GB2312" w:cs="仿宋_GB2312"/>
          <w:sz w:val="32"/>
          <w:szCs w:val="32"/>
          <w:lang w:eastAsia="zh-CN"/>
        </w:rPr>
        <w:t>内容需加强</w:t>
      </w:r>
      <w:r>
        <w:rPr>
          <w:rFonts w:hint="eastAsia" w:ascii="仿宋_GB2312" w:hAnsi="Times New Roman" w:eastAsia="仿宋_GB2312" w:cs="仿宋_GB2312"/>
          <w:sz w:val="32"/>
          <w:szCs w:val="32"/>
        </w:rPr>
        <w:t>，</w:t>
      </w:r>
      <w:r>
        <w:rPr>
          <w:rFonts w:hint="eastAsia" w:ascii="仿宋_GB2312" w:cs="仿宋_GB2312"/>
          <w:sz w:val="32"/>
          <w:szCs w:val="32"/>
          <w:lang w:eastAsia="zh-CN"/>
        </w:rPr>
        <w:t>在公开的质量和广度上还存在一定差距</w:t>
      </w:r>
      <w:r>
        <w:rPr>
          <w:rFonts w:hint="eastAsia" w:ascii="仿宋_GB2312" w:hAnsi="Times New Roman" w:eastAsia="仿宋_GB2312" w:cs="仿宋_GB2312"/>
          <w:sz w:val="32"/>
          <w:szCs w:val="32"/>
        </w:rPr>
        <w:t>；</w:t>
      </w:r>
      <w:r>
        <w:rPr>
          <w:rStyle w:val="6"/>
          <w:rFonts w:hint="eastAsia" w:ascii="仿宋_GB2312" w:hAnsi="Times New Roman" w:eastAsia="仿宋_GB2312" w:cs="仿宋_GB2312"/>
          <w:sz w:val="32"/>
          <w:szCs w:val="32"/>
        </w:rPr>
        <w:t>二是</w:t>
      </w:r>
      <w:r>
        <w:rPr>
          <w:rFonts w:hint="eastAsia" w:ascii="仿宋_GB2312" w:hAnsi="Times New Roman" w:eastAsia="仿宋_GB2312" w:cs="仿宋_GB2312"/>
          <w:sz w:val="32"/>
          <w:szCs w:val="32"/>
        </w:rPr>
        <w:t>队伍稳定性不够，工作人员业务素质整体水平有待提高；</w:t>
      </w:r>
      <w:r>
        <w:rPr>
          <w:rStyle w:val="6"/>
          <w:rFonts w:hint="eastAsia" w:ascii="仿宋_GB2312" w:hAnsi="Times New Roman" w:eastAsia="仿宋_GB2312" w:cs="仿宋_GB2312"/>
          <w:sz w:val="32"/>
          <w:szCs w:val="32"/>
        </w:rPr>
        <w:t>三是</w:t>
      </w:r>
      <w:r>
        <w:rPr>
          <w:rFonts w:hint="eastAsia" w:ascii="仿宋_GB2312" w:hAnsi="Times New Roman" w:eastAsia="仿宋_GB2312" w:cs="仿宋_GB2312"/>
          <w:sz w:val="32"/>
          <w:szCs w:val="32"/>
        </w:rPr>
        <w:t>上下协同的公开平台还需进一步完善，政府信息公开专栏内容建设和规范化水平有待进一步加强。</w:t>
      </w:r>
    </w:p>
    <w:p>
      <w:pPr>
        <w:pStyle w:val="3"/>
        <w:keepNext w:val="0"/>
        <w:keepLines w:val="0"/>
        <w:widowControl/>
        <w:suppressLineNumbers w:val="0"/>
        <w:spacing w:before="0" w:beforeAutospacing="0" w:after="0" w:afterAutospacing="0" w:line="615" w:lineRule="atLeast"/>
        <w:ind w:left="0" w:right="0" w:firstLine="645"/>
        <w:jc w:val="both"/>
        <w:rPr>
          <w:rFonts w:hint="eastAsia"/>
          <w:lang w:val="en-US" w:eastAsia="zh-CN"/>
        </w:rPr>
      </w:pPr>
      <w:r>
        <w:rPr>
          <w:rFonts w:hint="eastAsia" w:ascii="仿宋_GB2312" w:hAnsi="Times New Roman" w:eastAsia="仿宋_GB2312" w:cs="仿宋_GB2312"/>
          <w:sz w:val="32"/>
          <w:szCs w:val="32"/>
        </w:rPr>
        <w:t>改进措施：2023年，本机关将按照党中央、国务院的重大决策部署，</w:t>
      </w:r>
      <w:r>
        <w:rPr>
          <w:rFonts w:hint="eastAsia" w:ascii="仿宋_GB2312" w:hAnsi="Times New Roman" w:cs="仿宋_GB2312"/>
          <w:sz w:val="32"/>
          <w:szCs w:val="32"/>
          <w:lang w:eastAsia="zh-CN"/>
        </w:rPr>
        <w:t>在高安市人民政府的领导下，</w:t>
      </w:r>
      <w:r>
        <w:rPr>
          <w:rFonts w:hint="eastAsia" w:ascii="仿宋_GB2312" w:hAnsi="Times New Roman" w:eastAsia="仿宋_GB2312" w:cs="仿宋_GB2312"/>
          <w:sz w:val="32"/>
          <w:szCs w:val="32"/>
        </w:rPr>
        <w:t>坚持以人民为中心的发展理念，进一步完善政府信息公开和政务公开有关制度，着力加强主动公开、依申请公开和回应社会关切工作，着力加强政府信息公开平台内容建设，着力加强队伍建设和业务培训，不断提高</w:t>
      </w:r>
      <w:r>
        <w:rPr>
          <w:rFonts w:hint="eastAsia" w:ascii="仿宋_GB2312" w:hAnsi="Times New Roman" w:cs="仿宋_GB2312"/>
          <w:sz w:val="32"/>
          <w:szCs w:val="32"/>
          <w:lang w:eastAsia="zh-CN"/>
        </w:rPr>
        <w:t>供销</w:t>
      </w:r>
      <w:r>
        <w:rPr>
          <w:rFonts w:hint="eastAsia" w:ascii="仿宋_GB2312" w:hAnsi="Times New Roman" w:eastAsia="仿宋_GB2312" w:cs="仿宋_GB2312"/>
          <w:sz w:val="32"/>
          <w:szCs w:val="32"/>
        </w:rPr>
        <w:t>系统政府信息公开工作能力和水平，更好地为社会公众提供政府信息服务。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2022年度，本机关无收取信息处理费情况。</w:t>
      </w:r>
    </w:p>
    <w:p>
      <w:pPr>
        <w:pStyle w:val="2"/>
        <w:rPr>
          <w:rFonts w:hint="eastAsia"/>
          <w:lang w:eastAsia="zh-CN"/>
        </w:rPr>
      </w:pPr>
      <w:bookmarkStart w:id="0" w:name="_GoBack"/>
      <w:bookmarkEnd w:id="0"/>
    </w:p>
    <w:p>
      <w:pPr>
        <w:rPr>
          <w:rFonts w:hint="eastAsia" w:ascii="仿宋_GB2312" w:hAnsi="仿宋_GB2312" w:eastAsia="仿宋_GB2312" w:cs="仿宋_GB2312"/>
          <w:lang w:val="en-US" w:eastAsia="zh-CN"/>
        </w:rPr>
      </w:pPr>
      <w:r>
        <w:rPr>
          <w:rFonts w:hint="eastAsia"/>
          <w:lang w:val="en-US" w:eastAsia="zh-CN"/>
        </w:rPr>
        <w:t xml:space="preserve">                           </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6A9F4"/>
    <w:multiLevelType w:val="singleLevel"/>
    <w:tmpl w:val="0386A9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Y2Q1ZDAxYzhhYzNlZjJkYTRmNmM3OTJiNTA5NzMifQ=="/>
  </w:docVars>
  <w:rsids>
    <w:rsidRoot w:val="20826E38"/>
    <w:rsid w:val="03394EB3"/>
    <w:rsid w:val="04F01EE9"/>
    <w:rsid w:val="05AA0371"/>
    <w:rsid w:val="0AA74DF8"/>
    <w:rsid w:val="0AC97464"/>
    <w:rsid w:val="0B4D1E43"/>
    <w:rsid w:val="0BFB189F"/>
    <w:rsid w:val="0DB02216"/>
    <w:rsid w:val="0F2F360E"/>
    <w:rsid w:val="0FFC1742"/>
    <w:rsid w:val="1053332C"/>
    <w:rsid w:val="1092654A"/>
    <w:rsid w:val="118E6D12"/>
    <w:rsid w:val="12521AED"/>
    <w:rsid w:val="14F41582"/>
    <w:rsid w:val="164107F7"/>
    <w:rsid w:val="167F131F"/>
    <w:rsid w:val="17125CEF"/>
    <w:rsid w:val="17EC4792"/>
    <w:rsid w:val="1824217E"/>
    <w:rsid w:val="1A332204"/>
    <w:rsid w:val="1A5D1977"/>
    <w:rsid w:val="1CFA525B"/>
    <w:rsid w:val="1D491D3F"/>
    <w:rsid w:val="1EA062D6"/>
    <w:rsid w:val="20826E38"/>
    <w:rsid w:val="23897339"/>
    <w:rsid w:val="26301CEE"/>
    <w:rsid w:val="26492DAF"/>
    <w:rsid w:val="270A69E3"/>
    <w:rsid w:val="28243AD4"/>
    <w:rsid w:val="28643ED1"/>
    <w:rsid w:val="2A783D3B"/>
    <w:rsid w:val="2B1A4D1A"/>
    <w:rsid w:val="2D32459D"/>
    <w:rsid w:val="310821E5"/>
    <w:rsid w:val="31E27622"/>
    <w:rsid w:val="336F02F9"/>
    <w:rsid w:val="348E0C53"/>
    <w:rsid w:val="3567606C"/>
    <w:rsid w:val="356B2D42"/>
    <w:rsid w:val="36E52680"/>
    <w:rsid w:val="37F60FE9"/>
    <w:rsid w:val="3B043A1D"/>
    <w:rsid w:val="3B334302"/>
    <w:rsid w:val="3B424545"/>
    <w:rsid w:val="416C63A5"/>
    <w:rsid w:val="42097B6B"/>
    <w:rsid w:val="470E79D1"/>
    <w:rsid w:val="48A26623"/>
    <w:rsid w:val="4989333F"/>
    <w:rsid w:val="4C5916EF"/>
    <w:rsid w:val="4D65623F"/>
    <w:rsid w:val="4F3E697A"/>
    <w:rsid w:val="4F74239C"/>
    <w:rsid w:val="4FE614EB"/>
    <w:rsid w:val="50193A2E"/>
    <w:rsid w:val="50C25AB5"/>
    <w:rsid w:val="50E27F05"/>
    <w:rsid w:val="50EA5EA6"/>
    <w:rsid w:val="53A45945"/>
    <w:rsid w:val="540D34EB"/>
    <w:rsid w:val="56737851"/>
    <w:rsid w:val="5697353F"/>
    <w:rsid w:val="56C9121F"/>
    <w:rsid w:val="572648C3"/>
    <w:rsid w:val="57F81DBC"/>
    <w:rsid w:val="594554D5"/>
    <w:rsid w:val="5C7165E1"/>
    <w:rsid w:val="5D035061"/>
    <w:rsid w:val="5DCF7A63"/>
    <w:rsid w:val="620C3034"/>
    <w:rsid w:val="621243C2"/>
    <w:rsid w:val="65222B6E"/>
    <w:rsid w:val="657131AE"/>
    <w:rsid w:val="65A17F37"/>
    <w:rsid w:val="670F7122"/>
    <w:rsid w:val="68C36416"/>
    <w:rsid w:val="698C05B6"/>
    <w:rsid w:val="6B106FC5"/>
    <w:rsid w:val="6CC87B57"/>
    <w:rsid w:val="6F0B01CF"/>
    <w:rsid w:val="6FF11ABB"/>
    <w:rsid w:val="70BA3C5B"/>
    <w:rsid w:val="744D69AF"/>
    <w:rsid w:val="757C5983"/>
    <w:rsid w:val="761756AB"/>
    <w:rsid w:val="76EC2FDC"/>
    <w:rsid w:val="774B7D02"/>
    <w:rsid w:val="7B5178B1"/>
    <w:rsid w:val="7B7D4202"/>
    <w:rsid w:val="7C350F81"/>
    <w:rsid w:val="7EF8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2360</Words>
  <Characters>2427</Characters>
  <Lines>0</Lines>
  <Paragraphs>0</Paragraphs>
  <TotalTime>21</TotalTime>
  <ScaleCrop>false</ScaleCrop>
  <LinksUpToDate>false</LinksUpToDate>
  <CharactersWithSpaces>2635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2023-01-11T02:17:00Z</dcterms:created>
  <dc:creator>vaciaan</dc:creator>
  <cp:lastModifiedBy>Administrator</cp:lastModifiedBy>
  <dcterms:modified xsi:type="dcterms:W3CDTF">2023-01-16T02:06:11Z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9C6A2793A4584804AFA861236CE25348</vt:lpwstr>
  </property>
</Properties>
</file>