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Arial Unicode MS" w:hAnsi="Arial Unicode MS" w:eastAsia="Arial Unicode MS" w:cs="Arial Unicode MS"/>
          <w:b w:val="0"/>
          <w:bCs w:val="0"/>
          <w:i w:val="0"/>
          <w:iCs w:val="0"/>
          <w:caps w:val="0"/>
          <w:color w:val="000000"/>
          <w:spacing w:val="0"/>
          <w:kern w:val="0"/>
          <w:sz w:val="36"/>
          <w:szCs w:val="36"/>
          <w:shd w:val="clear" w:fill="FFFFFF"/>
          <w:lang w:val="en-US" w:eastAsia="zh-CN" w:bidi="ar"/>
        </w:rPr>
      </w:pPr>
      <w:r>
        <w:rPr>
          <w:rFonts w:hint="eastAsia" w:ascii="Arial Unicode MS" w:hAnsi="Arial Unicode MS" w:eastAsia="Arial Unicode MS" w:cs="Arial Unicode MS"/>
          <w:b w:val="0"/>
          <w:bCs w:val="0"/>
          <w:i w:val="0"/>
          <w:iCs w:val="0"/>
          <w:caps w:val="0"/>
          <w:color w:val="000000"/>
          <w:spacing w:val="0"/>
          <w:kern w:val="0"/>
          <w:sz w:val="36"/>
          <w:szCs w:val="36"/>
          <w:shd w:val="clear" w:fill="FFFFFF"/>
          <w:lang w:val="en-US" w:eastAsia="zh-CN" w:bidi="ar"/>
        </w:rPr>
        <w:t>高安市黄沙岗镇2022年政府信息公开工作年度报告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ascii="方正仿宋_GB2312" w:hAnsi="方正仿宋_GB2312" w:eastAsia="方正仿宋_GB2312" w:cs="方正仿宋_GB2312"/>
          <w:b/>
          <w:bCs/>
          <w:i w:val="0"/>
          <w:iCs w:val="0"/>
          <w:caps w:val="0"/>
          <w:color w:val="000000"/>
          <w:spacing w:val="0"/>
          <w:kern w:val="0"/>
          <w:sz w:val="28"/>
          <w:szCs w:val="28"/>
          <w:bdr w:val="none" w:color="auto" w:sz="0" w:space="0"/>
          <w:shd w:val="clear" w:fill="FFFFFF"/>
          <w:lang w:val="en-US" w:eastAsia="zh-CN" w:bidi="ar"/>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ascii="仿宋_GB2312" w:eastAsia="仿宋_GB2312" w:cs="仿宋_GB2312"/>
          <w:i w:val="0"/>
          <w:iCs w:val="0"/>
          <w:caps w:val="0"/>
          <w:color w:val="000000"/>
          <w:spacing w:val="0"/>
          <w:kern w:val="0"/>
          <w:sz w:val="28"/>
          <w:szCs w:val="28"/>
          <w:bdr w:val="none" w:color="auto" w:sz="0" w:space="0"/>
          <w:shd w:val="clear" w:fill="FFFFFF"/>
          <w:lang w:val="en-US" w:eastAsia="zh-CN" w:bidi="ar"/>
        </w:rPr>
        <w:t>202</w:t>
      </w:r>
      <w:r>
        <w:rPr>
          <w:rFonts w:hint="eastAsia" w:ascii="仿宋_GB2312" w:eastAsia="仿宋_GB2312" w:cs="仿宋_GB2312"/>
          <w:i w:val="0"/>
          <w:iCs w:val="0"/>
          <w:caps w:val="0"/>
          <w:color w:val="000000"/>
          <w:spacing w:val="0"/>
          <w:kern w:val="0"/>
          <w:sz w:val="28"/>
          <w:szCs w:val="28"/>
          <w:bdr w:val="none" w:color="auto" w:sz="0" w:space="0"/>
          <w:shd w:val="clear" w:fill="FFFFFF"/>
          <w:lang w:val="en-US" w:eastAsia="zh-CN" w:bidi="ar"/>
        </w:rPr>
        <w:t>2年黄沙岗镇人民政府坚持以习近平新时代中国特色社会主义思想为指导，深入贯彻党的十九届历次全会及党的二十大精神，严格落实</w:t>
      </w:r>
      <w:r>
        <w:rPr>
          <w:rFonts w:hint="eastAsia" w:ascii="仿宋_GB2312" w:eastAsia="仿宋_GB2312" w:cs="仿宋_GB2312"/>
          <w:kern w:val="0"/>
          <w:sz w:val="28"/>
          <w:szCs w:val="28"/>
          <w:bdr w:val="none" w:color="auto" w:sz="0" w:space="0"/>
          <w:shd w:val="clear" w:fill="FFFFFF"/>
          <w:lang w:val="en-US" w:eastAsia="zh-CN" w:bidi="ar"/>
        </w:rPr>
        <w:t>《中华人民共和国政府信息公开条例</w:t>
      </w:r>
      <w:r>
        <w:rPr>
          <w:rFonts w:hint="eastAsia" w:ascii="仿宋_GB2312" w:eastAsia="仿宋_GB2312" w:cs="仿宋_GB2312"/>
          <w:kern w:val="2"/>
          <w:sz w:val="28"/>
          <w:szCs w:val="28"/>
          <w:bdr w:val="none" w:color="auto" w:sz="0" w:space="0"/>
          <w:shd w:val="clear" w:fill="FFFFFF"/>
          <w:lang w:val="en-US" w:eastAsia="zh-CN" w:bidi="ar"/>
        </w:rPr>
        <w:t>》（国务院令第711号）和《国务院办公厅政府信息与政务公开办公室关于印发中华人民共和国政府信息公开工作年度报告格式的通知</w:t>
      </w:r>
      <w:r>
        <w:rPr>
          <w:rFonts w:hint="eastAsia" w:ascii="仿宋_GB2312" w:eastAsia="仿宋_GB2312" w:cs="仿宋_GB2312"/>
          <w:kern w:val="0"/>
          <w:sz w:val="28"/>
          <w:szCs w:val="28"/>
          <w:bdr w:val="none" w:color="auto" w:sz="0" w:space="0"/>
          <w:shd w:val="clear" w:fill="FFFFFF"/>
          <w:lang w:val="en-US" w:eastAsia="zh-CN" w:bidi="ar"/>
        </w:rPr>
        <w:t>》（国办公开办函〔2021〕30号）等文件通知要求</w:t>
      </w:r>
      <w:r>
        <w:rPr>
          <w:rFonts w:hint="eastAsia" w:ascii="仿宋_GB2312" w:eastAsia="仿宋_GB2312" w:cs="仿宋_GB2312"/>
          <w:i w:val="0"/>
          <w:iCs w:val="0"/>
          <w:caps w:val="0"/>
          <w:color w:val="000000"/>
          <w:spacing w:val="0"/>
          <w:kern w:val="0"/>
          <w:sz w:val="28"/>
          <w:szCs w:val="28"/>
          <w:bdr w:val="none" w:color="auto" w:sz="0" w:space="0"/>
          <w:shd w:val="clear" w:fill="FFFFFF"/>
          <w:lang w:val="en-US" w:eastAsia="zh-CN" w:bidi="ar"/>
        </w:rPr>
        <w:t>。同时积极对明确目标任务，紧紧围绕省委、省政府中心工作及社会群众关注关切，着力提升政府信息公开质量，推进拓宽政府信息公开渠道，不断增强政府信息公开实效。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方正仿宋_GB2312" w:hAnsi="方正仿宋_GB2312" w:eastAsia="方正仿宋_GB2312" w:cs="方正仿宋_GB2312"/>
          <w:i w:val="0"/>
          <w:iCs w:val="0"/>
          <w:caps w:val="0"/>
          <w:color w:val="000000"/>
          <w:spacing w:val="0"/>
          <w:kern w:val="0"/>
          <w:sz w:val="28"/>
          <w:szCs w:val="28"/>
          <w:bdr w:val="none" w:color="auto" w:sz="0" w:space="0"/>
          <w:shd w:val="clear" w:fill="FFFFFF"/>
          <w:lang w:val="en-US" w:eastAsia="zh-CN" w:bidi="ar"/>
        </w:rPr>
        <w:t>（一）主动公开情况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仿宋_GB2312" w:eastAsia="仿宋_GB2312" w:cs="仿宋_GB2312"/>
          <w:kern w:val="0"/>
          <w:sz w:val="28"/>
          <w:szCs w:val="28"/>
          <w:bdr w:val="none" w:color="auto" w:sz="0" w:space="0"/>
          <w:shd w:val="clear" w:fill="FFFFFF"/>
          <w:lang w:val="en-US" w:eastAsia="zh-CN" w:bidi="ar"/>
        </w:rPr>
        <w:t>2022年，我镇重新梳理了主动公开服务事项，公开信息总数为87条。主要是机构简介、机构职能、发展规划、政务动态、公示公告、财政预决算、年度报告等内容。可通过高安市政府门户网站的“政府信息公开”栏目查询我单位主动公开的2022年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方正仿宋_GB2312" w:hAnsi="方正仿宋_GB2312" w:eastAsia="方正仿宋_GB2312" w:cs="方正仿宋_GB2312"/>
          <w:i w:val="0"/>
          <w:iCs w:val="0"/>
          <w:caps w:val="0"/>
          <w:color w:val="000000"/>
          <w:spacing w:val="0"/>
          <w:kern w:val="0"/>
          <w:sz w:val="28"/>
          <w:szCs w:val="28"/>
          <w:bdr w:val="none" w:color="auto" w:sz="0" w:space="0"/>
          <w:shd w:val="clear" w:fill="FFFFFF"/>
          <w:lang w:val="en-US" w:eastAsia="zh-CN" w:bidi="ar"/>
        </w:rPr>
        <w:t>（二）依申请公开情况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方正仿宋_GB2312" w:hAnsi="方正仿宋_GB2312" w:eastAsia="方正仿宋_GB2312" w:cs="方正仿宋_GB2312"/>
          <w:i w:val="0"/>
          <w:iCs w:val="0"/>
          <w:caps w:val="0"/>
          <w:color w:val="000000"/>
          <w:spacing w:val="0"/>
          <w:kern w:val="0"/>
          <w:sz w:val="28"/>
          <w:szCs w:val="28"/>
          <w:bdr w:val="none" w:color="auto" w:sz="0" w:space="0"/>
          <w:shd w:val="clear" w:fill="FFFFFF"/>
          <w:lang w:val="en-US" w:eastAsia="zh-CN" w:bidi="ar"/>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方正仿宋_GB2312" w:hAnsi="方正仿宋_GB2312" w:eastAsia="方正仿宋_GB2312" w:cs="方正仿宋_GB2312"/>
          <w:i w:val="0"/>
          <w:iCs w:val="0"/>
          <w:caps w:val="0"/>
          <w:color w:val="000000"/>
          <w:spacing w:val="0"/>
          <w:kern w:val="0"/>
          <w:sz w:val="28"/>
          <w:szCs w:val="28"/>
          <w:bdr w:val="none" w:color="auto" w:sz="0" w:space="0"/>
          <w:shd w:val="clear" w:fill="FFFFFF"/>
          <w:lang w:val="en-US" w:eastAsia="zh-CN" w:bidi="ar"/>
        </w:rPr>
        <w:t>（三）政府信息管理情况</w:t>
      </w:r>
    </w:p>
    <w:p>
      <w:pPr>
        <w:keepNext w:val="0"/>
        <w:keepLines w:val="0"/>
        <w:widowControl/>
        <w:suppressLineNumbers w:val="0"/>
        <w:jc w:val="left"/>
      </w:pPr>
      <w:r>
        <w:rPr>
          <w:rFonts w:ascii="微软雅黑" w:hAnsi="微软雅黑" w:eastAsia="微软雅黑" w:cs="微软雅黑"/>
          <w:i w:val="0"/>
          <w:iCs w:val="0"/>
          <w:caps w:val="0"/>
          <w:color w:val="000000"/>
          <w:spacing w:val="0"/>
          <w:kern w:val="0"/>
          <w:sz w:val="28"/>
          <w:szCs w:val="28"/>
          <w:shd w:val="clear" w:fill="FFFFFF"/>
          <w:lang w:val="en-US" w:eastAsia="zh-CN" w:bidi="ar"/>
        </w:rPr>
        <w:t>    我镇为规范政府信息发布流程，加强信息发布前审查，强化网站信息安全管理，特制定如下措施：一方面设立专人专岗：特派两名干事、一名分管领导负责政务公开撰写、审核、发布。另一方面规范信息发布流程：三名人员分别负责政务公开经办、校稿及审核，确保发布的信息准确无误。坚持“先审核后公开”、“谁公开谁审核、谁审核谁负责”的原则。</w:t>
      </w:r>
      <w:r>
        <w:rPr>
          <w:rFonts w:ascii="宋体" w:hAnsi="宋体" w:eastAsia="宋体" w:cs="宋体"/>
          <w:kern w:val="0"/>
          <w:sz w:val="24"/>
          <w:szCs w:val="24"/>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方正仿宋_GB2312" w:hAnsi="方正仿宋_GB2312" w:eastAsia="方正仿宋_GB2312" w:cs="方正仿宋_GB2312"/>
          <w:i w:val="0"/>
          <w:iCs w:val="0"/>
          <w:caps w:val="0"/>
          <w:color w:val="000000"/>
          <w:spacing w:val="0"/>
          <w:kern w:val="0"/>
          <w:sz w:val="28"/>
          <w:szCs w:val="28"/>
          <w:bdr w:val="none" w:color="auto" w:sz="0" w:space="0"/>
          <w:shd w:val="clear" w:fill="FFFFFF"/>
          <w:lang w:val="en-US" w:eastAsia="zh-CN" w:bidi="ar"/>
        </w:rPr>
        <w:t>（四）政府信息公开平台建设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黄沙岗镇坚持把政府门户网站作为全乡统一集中公开政府信息的第一平台，向群众提供政策法规、新闻动态、通知公告、预警信息、安全生产等各类信息。通过门户网站，进一步发挥政府信息公开集中查询点和受理点的作用。借助各村（社区）广播站、政府信息公开栏、微信等多种公开渠道，及时、全面、准确地主动公开各类政府信息，提高政策的传播率和知晓率。并及时收集整理，及时回应群众关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方正仿宋_GB2312" w:hAnsi="方正仿宋_GB2312" w:eastAsia="方正仿宋_GB2312" w:cs="方正仿宋_GB2312"/>
          <w:i w:val="0"/>
          <w:iCs w:val="0"/>
          <w:caps w:val="0"/>
          <w:color w:val="000000"/>
          <w:spacing w:val="0"/>
          <w:kern w:val="0"/>
          <w:sz w:val="28"/>
          <w:szCs w:val="28"/>
          <w:bdr w:val="none" w:color="auto" w:sz="0" w:space="0"/>
          <w:shd w:val="clear" w:fill="FFFFFF"/>
          <w:lang w:val="en-US" w:eastAsia="zh-CN" w:bidi="ar"/>
        </w:rPr>
        <w:t>（五）监督保障工作情况</w:t>
      </w:r>
    </w:p>
    <w:p>
      <w:pPr>
        <w:keepNext w:val="0"/>
        <w:keepLines w:val="0"/>
        <w:widowControl/>
        <w:suppressLineNumbers w:val="0"/>
        <w:jc w:val="left"/>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  2022年我镇积极接受上级党委、政府的工作监督考核和社会评议，认真学习市政府每月通报文件等材料，及时改进和提升乡镇政务公开工作。</w:t>
      </w:r>
      <w:r>
        <w:rPr>
          <w:rFonts w:ascii="宋体" w:hAnsi="宋体" w:eastAsia="宋体" w:cs="宋体"/>
          <w:kern w:val="0"/>
          <w:sz w:val="24"/>
          <w:szCs w:val="24"/>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方正仿宋_GB2312" w:hAnsi="方正仿宋_GB2312" w:eastAsia="方正仿宋_GB2312" w:cs="方正仿宋_GB2312"/>
          <w:b/>
          <w:bCs/>
          <w:i w:val="0"/>
          <w:iCs w:val="0"/>
          <w:caps w:val="0"/>
          <w:color w:val="000000"/>
          <w:spacing w:val="0"/>
          <w:kern w:val="0"/>
          <w:sz w:val="28"/>
          <w:szCs w:val="28"/>
          <w:bdr w:val="none" w:color="auto" w:sz="0" w:space="0"/>
          <w:shd w:val="clear" w:fill="FFFFFF"/>
          <w:lang w:val="en-US" w:eastAsia="zh-CN" w:bidi="ar"/>
        </w:rPr>
        <w:t>二、主动公开政府信息情况</w:t>
      </w:r>
    </w:p>
    <w:tbl>
      <w:tblPr>
        <w:tblW w:w="0" w:type="auto"/>
        <w:tblInd w:w="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066"/>
        <w:gridCol w:w="2066"/>
        <w:gridCol w:w="2066"/>
        <w:gridCol w:w="20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810" w:type="dxa"/>
            <w:gridSpan w:val="4"/>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45" w:type="dxa"/>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信息内容</w:t>
            </w:r>
          </w:p>
        </w:tc>
        <w:tc>
          <w:tcPr>
            <w:tcW w:w="2445" w:type="dxa"/>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本年制发件数</w:t>
            </w:r>
          </w:p>
        </w:tc>
        <w:tc>
          <w:tcPr>
            <w:tcW w:w="2445" w:type="dxa"/>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本年废止件数</w:t>
            </w:r>
          </w:p>
        </w:tc>
        <w:tc>
          <w:tcPr>
            <w:tcW w:w="2445" w:type="dxa"/>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45" w:type="dxa"/>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规   章</w:t>
            </w:r>
          </w:p>
        </w:tc>
        <w:tc>
          <w:tcPr>
            <w:tcW w:w="2445" w:type="dxa"/>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0</w:t>
            </w:r>
          </w:p>
        </w:tc>
        <w:tc>
          <w:tcPr>
            <w:tcW w:w="2445" w:type="dxa"/>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0</w:t>
            </w:r>
          </w:p>
        </w:tc>
        <w:tc>
          <w:tcPr>
            <w:tcW w:w="2445" w:type="dxa"/>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45" w:type="dxa"/>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行政规范性文件</w:t>
            </w:r>
          </w:p>
        </w:tc>
        <w:tc>
          <w:tcPr>
            <w:tcW w:w="2445" w:type="dxa"/>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keepNext w:val="0"/>
              <w:keepLines w:val="0"/>
              <w:widowControl/>
              <w:suppressLineNumbers w:val="0"/>
              <w:wordWrap w:val="0"/>
              <w:spacing w:before="0" w:beforeAutospacing="1" w:after="0" w:afterAutospacing="1"/>
              <w:ind w:left="0" w:right="0"/>
              <w:jc w:val="left"/>
            </w:pPr>
            <w:r>
              <w:rPr>
                <w:rFonts w:hint="eastAsia" w:ascii="方正仿宋_GB2312" w:hAnsi="方正仿宋_GB2312" w:eastAsia="方正仿宋_GB2312" w:cs="方正仿宋_GB2312"/>
                <w:kern w:val="0"/>
                <w:sz w:val="28"/>
                <w:szCs w:val="28"/>
                <w:lang w:val="en-US" w:eastAsia="zh-CN" w:bidi="ar"/>
              </w:rPr>
              <w:t>0</w:t>
            </w:r>
          </w:p>
        </w:tc>
        <w:tc>
          <w:tcPr>
            <w:tcW w:w="2445" w:type="dxa"/>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0</w:t>
            </w:r>
          </w:p>
        </w:tc>
        <w:tc>
          <w:tcPr>
            <w:tcW w:w="2445" w:type="dxa"/>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keepNext w:val="0"/>
              <w:keepLines w:val="0"/>
              <w:widowControl/>
              <w:suppressLineNumbers w:val="0"/>
              <w:wordWrap w:val="0"/>
              <w:spacing w:before="0" w:beforeAutospacing="1" w:after="0" w:afterAutospacing="1"/>
              <w:ind w:left="0" w:right="0"/>
              <w:jc w:val="left"/>
            </w:pPr>
            <w:r>
              <w:rPr>
                <w:rFonts w:hint="eastAsia" w:ascii="方正仿宋_GB2312" w:hAnsi="方正仿宋_GB2312" w:eastAsia="方正仿宋_GB2312" w:cs="方正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9810" w:type="dxa"/>
            <w:gridSpan w:val="4"/>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45" w:type="dxa"/>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信息内容</w:t>
            </w:r>
          </w:p>
        </w:tc>
        <w:tc>
          <w:tcPr>
            <w:tcW w:w="7365" w:type="dxa"/>
            <w:gridSpan w:val="3"/>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45" w:type="dxa"/>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行政许可</w:t>
            </w:r>
          </w:p>
        </w:tc>
        <w:tc>
          <w:tcPr>
            <w:tcW w:w="7365" w:type="dxa"/>
            <w:gridSpan w:val="3"/>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810" w:type="dxa"/>
            <w:gridSpan w:val="4"/>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45" w:type="dxa"/>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信息内容</w:t>
            </w:r>
          </w:p>
        </w:tc>
        <w:tc>
          <w:tcPr>
            <w:tcW w:w="7365" w:type="dxa"/>
            <w:gridSpan w:val="3"/>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45" w:type="dxa"/>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行政处罚</w:t>
            </w:r>
          </w:p>
        </w:tc>
        <w:tc>
          <w:tcPr>
            <w:tcW w:w="7365" w:type="dxa"/>
            <w:gridSpan w:val="3"/>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45" w:type="dxa"/>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行政强制</w:t>
            </w:r>
          </w:p>
        </w:tc>
        <w:tc>
          <w:tcPr>
            <w:tcW w:w="7365" w:type="dxa"/>
            <w:gridSpan w:val="3"/>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810" w:type="dxa"/>
            <w:gridSpan w:val="4"/>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45" w:type="dxa"/>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信息内容</w:t>
            </w:r>
          </w:p>
        </w:tc>
        <w:tc>
          <w:tcPr>
            <w:tcW w:w="7365" w:type="dxa"/>
            <w:gridSpan w:val="3"/>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45" w:type="dxa"/>
            <w:tcBorders>
              <w:top w:val="outset" w:color="auto" w:sz="6" w:space="0"/>
              <w:left w:val="outset" w:color="auto" w:sz="6" w:space="0"/>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行政事业性收费</w:t>
            </w:r>
          </w:p>
        </w:tc>
        <w:tc>
          <w:tcPr>
            <w:tcW w:w="7365" w:type="dxa"/>
            <w:gridSpan w:val="3"/>
            <w:tcBorders>
              <w:top w:val="outset" w:color="auto" w:sz="6" w:space="0"/>
              <w:left w:val="nil"/>
              <w:bottom w:val="outset" w:color="auto" w:sz="6" w:space="0"/>
              <w:right w:val="outset" w:color="auto" w:sz="6" w:space="0"/>
            </w:tcBorders>
            <w:shd w:val="clear"/>
            <w:tcMar>
              <w:top w:w="30" w:type="dxa"/>
              <w:left w:w="30" w:type="dxa"/>
              <w:bottom w:w="30" w:type="dxa"/>
              <w:right w:w="30" w:type="dxa"/>
            </w:tcM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方正仿宋_GB2312" w:hAnsi="方正仿宋_GB2312" w:eastAsia="方正仿宋_GB2312" w:cs="方正仿宋_GB2312"/>
          <w:b/>
          <w:bCs/>
          <w:i w:val="0"/>
          <w:iCs w:val="0"/>
          <w:caps w:val="0"/>
          <w:color w:val="000000"/>
          <w:spacing w:val="0"/>
          <w:kern w:val="0"/>
          <w:sz w:val="28"/>
          <w:szCs w:val="28"/>
          <w:bdr w:val="none" w:color="auto" w:sz="0" w:space="0"/>
          <w:shd w:val="clear" w:fill="FFFFFF"/>
          <w:lang w:val="en-US" w:eastAsia="zh-CN" w:bidi="ar"/>
        </w:rPr>
        <w:t>三、收到和处理政府信息公开申请情况</w:t>
      </w:r>
    </w:p>
    <w:tbl>
      <w:tblPr>
        <w:tblW w:w="0" w:type="auto"/>
        <w:tblInd w:w="7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30" w:type="dxa"/>
          <w:left w:w="30" w:type="dxa"/>
          <w:bottom w:w="30" w:type="dxa"/>
          <w:right w:w="30" w:type="dxa"/>
        </w:tblCellMar>
      </w:tblPr>
      <w:tblGrid>
        <w:gridCol w:w="735"/>
        <w:gridCol w:w="965"/>
        <w:gridCol w:w="3653"/>
        <w:gridCol w:w="408"/>
        <w:gridCol w:w="430"/>
        <w:gridCol w:w="365"/>
        <w:gridCol w:w="452"/>
        <w:gridCol w:w="408"/>
        <w:gridCol w:w="430"/>
        <w:gridCol w:w="4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6600" w:type="dxa"/>
            <w:gridSpan w:val="3"/>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（本列数据的勾稽关系为：第一项加第二项之和，等于第三项加第四项之和）</w:t>
            </w:r>
          </w:p>
        </w:tc>
        <w:tc>
          <w:tcPr>
            <w:tcW w:w="3135" w:type="dxa"/>
            <w:gridSpan w:val="7"/>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600"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35" w:type="dxa"/>
            <w:vMerge w:val="restart"/>
            <w:tcBorders>
              <w:top w:val="nil"/>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自</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然</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人</w:t>
            </w:r>
          </w:p>
        </w:tc>
        <w:tc>
          <w:tcPr>
            <w:tcW w:w="2235" w:type="dxa"/>
            <w:gridSpan w:val="5"/>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法人或其他组织</w:t>
            </w:r>
          </w:p>
        </w:tc>
        <w:tc>
          <w:tcPr>
            <w:tcW w:w="465" w:type="dxa"/>
            <w:vMerge w:val="restart"/>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600"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35"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6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商业</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企业</w:t>
            </w:r>
          </w:p>
        </w:tc>
        <w:tc>
          <w:tcPr>
            <w:tcW w:w="37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科研</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机构</w:t>
            </w:r>
          </w:p>
        </w:tc>
        <w:tc>
          <w:tcPr>
            <w:tcW w:w="49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社会公益组织</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法律服务机构</w:t>
            </w:r>
          </w:p>
        </w:tc>
        <w:tc>
          <w:tcPr>
            <w:tcW w:w="45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其他</w:t>
            </w:r>
          </w:p>
        </w:tc>
        <w:tc>
          <w:tcPr>
            <w:tcW w:w="465" w:type="dxa"/>
            <w:vMerge w:val="continue"/>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600" w:type="dxa"/>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一、本年新收政府信息公开申请数量</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600" w:type="dxa"/>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二、上年结转政府信息公开申请数量</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restart"/>
            <w:tcBorders>
              <w:top w:val="nil"/>
              <w:left w:val="outset" w:color="auto" w:sz="6" w:space="0"/>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三、本年度办理结果</w:t>
            </w:r>
          </w:p>
        </w:tc>
        <w:tc>
          <w:tcPr>
            <w:tcW w:w="5820" w:type="dxa"/>
            <w:gridSpan w:val="2"/>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（一）予以公开</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820" w:type="dxa"/>
            <w:gridSpan w:val="2"/>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（二）部分公开（区分处理的，只计这一情形，不计其他情形）</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restart"/>
            <w:tcBorders>
              <w:top w:val="nil"/>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（三）不予公开</w:t>
            </w: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1.属于国家秘密</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2.其他法律行政法规禁止公开</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3.危及“三安全一稳定”</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4.保护第三方合法权益</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5.属于三类内部事务信息</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6.属于四类过程性信息</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7.属于行政执法案卷</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8.属于行政查询事项</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restart"/>
            <w:tcBorders>
              <w:top w:val="nil"/>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（四）无法提供</w:t>
            </w: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1.本机关不掌握相关政府信息</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2.没有现成信息需要另行制作</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3.补正后申请内容仍不明确</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restart"/>
            <w:tcBorders>
              <w:top w:val="nil"/>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（五）不予处理</w:t>
            </w: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1.信访举报投诉类申请</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2.重复申请</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3.要求提供公开出版物</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4.无正当理由大量反复申请</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5.要求行政机关确认或重新出具已获取信息</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restart"/>
            <w:tcBorders>
              <w:top w:val="nil"/>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（六）其他处理</w:t>
            </w:r>
          </w:p>
        </w:tc>
        <w:tc>
          <w:tcPr>
            <w:tcW w:w="481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1.申请人无正当理由逾期不补正、行政机关不再处理其政府信息公开申请</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2.申请人逾期未按收费通知要求缴纳费用、行政机关不再处理其政府信息公开申请</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481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3.其他</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820" w:type="dxa"/>
            <w:gridSpan w:val="2"/>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（七）总计</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600" w:type="dxa"/>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四、结转下年度继续办理</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37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9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35"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5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465" w:type="dxa"/>
            <w:tcBorders>
              <w:top w:val="outset" w:color="auto" w:sz="6" w:space="0"/>
              <w:left w:val="nil"/>
              <w:bottom w:val="outset" w:color="auto" w:sz="6" w:space="0"/>
              <w:right w:val="outset" w:color="auto" w:sz="6" w:space="0"/>
            </w:tcBorders>
            <w:shd w:val="clear"/>
            <w:vAlign w:val="top"/>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方正仿宋_GB2312" w:hAnsi="方正仿宋_GB2312" w:eastAsia="方正仿宋_GB2312" w:cs="方正仿宋_GB2312"/>
          <w:b/>
          <w:bCs/>
          <w:i w:val="0"/>
          <w:iCs w:val="0"/>
          <w:caps w:val="0"/>
          <w:color w:val="000000"/>
          <w:spacing w:val="0"/>
          <w:kern w:val="0"/>
          <w:sz w:val="28"/>
          <w:szCs w:val="28"/>
          <w:bdr w:val="none" w:color="auto" w:sz="0" w:space="0"/>
          <w:shd w:val="clear" w:fill="FFFFFF"/>
          <w:lang w:val="en-US" w:eastAsia="zh-CN" w:bidi="ar"/>
        </w:rPr>
        <w:t>四、政府信息公开行政复议、行政诉讼情况</w:t>
      </w:r>
    </w:p>
    <w:tbl>
      <w:tblPr>
        <w:tblW w:w="0" w:type="auto"/>
        <w:tblInd w:w="7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30" w:type="dxa"/>
          <w:left w:w="30" w:type="dxa"/>
          <w:bottom w:w="30" w:type="dxa"/>
          <w:right w:w="30" w:type="dxa"/>
        </w:tblCellMar>
      </w:tblPr>
      <w:tblGrid>
        <w:gridCol w:w="544"/>
        <w:gridCol w:w="544"/>
        <w:gridCol w:w="544"/>
        <w:gridCol w:w="544"/>
        <w:gridCol w:w="586"/>
        <w:gridCol w:w="544"/>
        <w:gridCol w:w="544"/>
        <w:gridCol w:w="544"/>
        <w:gridCol w:w="544"/>
        <w:gridCol w:w="586"/>
        <w:gridCol w:w="544"/>
        <w:gridCol w:w="544"/>
        <w:gridCol w:w="544"/>
        <w:gridCol w:w="545"/>
        <w:gridCol w:w="5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3210" w:type="dxa"/>
            <w:gridSpan w:val="5"/>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行政复议</w:t>
            </w:r>
          </w:p>
        </w:tc>
        <w:tc>
          <w:tcPr>
            <w:tcW w:w="6420" w:type="dxa"/>
            <w:gridSpan w:val="10"/>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30" w:type="dxa"/>
            <w:vMerge w:val="restart"/>
            <w:tcBorders>
              <w:top w:val="nil"/>
              <w:left w:val="outset" w:color="auto" w:sz="6" w:space="0"/>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结果维持</w:t>
            </w:r>
          </w:p>
        </w:tc>
        <w:tc>
          <w:tcPr>
            <w:tcW w:w="630" w:type="dxa"/>
            <w:vMerge w:val="restart"/>
            <w:tcBorders>
              <w:top w:val="nil"/>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结果</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纠正</w:t>
            </w:r>
          </w:p>
        </w:tc>
        <w:tc>
          <w:tcPr>
            <w:tcW w:w="630" w:type="dxa"/>
            <w:vMerge w:val="restart"/>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其他</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结果</w:t>
            </w:r>
          </w:p>
        </w:tc>
        <w:tc>
          <w:tcPr>
            <w:tcW w:w="630" w:type="dxa"/>
            <w:vMerge w:val="restart"/>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尚未</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审结</w:t>
            </w:r>
          </w:p>
        </w:tc>
        <w:tc>
          <w:tcPr>
            <w:tcW w:w="630" w:type="dxa"/>
            <w:vMerge w:val="restart"/>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总计</w:t>
            </w:r>
          </w:p>
        </w:tc>
        <w:tc>
          <w:tcPr>
            <w:tcW w:w="3210" w:type="dxa"/>
            <w:gridSpan w:val="5"/>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未经复议直接起诉</w:t>
            </w:r>
          </w:p>
        </w:tc>
        <w:tc>
          <w:tcPr>
            <w:tcW w:w="3210" w:type="dxa"/>
            <w:gridSpan w:val="5"/>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3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30" w:type="dxa"/>
            <w:vMerge w:val="continue"/>
            <w:tcBorders>
              <w:top w:val="nil"/>
              <w:left w:val="nil"/>
              <w:bottom w:val="outset" w:color="auto" w:sz="6" w:space="0"/>
              <w:right w:val="outset" w:color="auto" w:sz="6" w:space="0"/>
            </w:tcBorders>
            <w:shd w:val="clear"/>
            <w:vAlign w:val="center"/>
          </w:tcPr>
          <w:p>
            <w:pPr>
              <w:rPr>
                <w:rFonts w:hint="eastAsia" w:ascii="宋体"/>
                <w:sz w:val="24"/>
                <w:szCs w:val="24"/>
              </w:rPr>
            </w:pPr>
          </w:p>
        </w:tc>
        <w:tc>
          <w:tcPr>
            <w:tcW w:w="630" w:type="dxa"/>
            <w:vMerge w:val="continue"/>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c>
          <w:tcPr>
            <w:tcW w:w="630" w:type="dxa"/>
            <w:vMerge w:val="continue"/>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c>
          <w:tcPr>
            <w:tcW w:w="630" w:type="dxa"/>
            <w:vMerge w:val="continue"/>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结果</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维持</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结果</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纠正</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其他</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结果</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尚未</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审结</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总计</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结果</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维持</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结果</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纠正</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其他</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结果</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尚未</w:t>
            </w:r>
          </w:p>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审结</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3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c>
          <w:tcPr>
            <w:tcW w:w="630" w:type="dxa"/>
            <w:tcBorders>
              <w:top w:val="outset" w:color="auto" w:sz="6" w:space="0"/>
              <w:left w:val="nil"/>
              <w:bottom w:val="outset" w:color="auto" w:sz="6" w:space="0"/>
              <w:right w:val="outset" w:color="auto" w:sz="6" w:space="0"/>
            </w:tcBorders>
            <w:shd w:val="clear"/>
            <w:vAlign w:val="center"/>
          </w:tcPr>
          <w:p>
            <w:pPr>
              <w:pStyle w:val="3"/>
              <w:keepNext w:val="0"/>
              <w:keepLines w:val="0"/>
              <w:widowControl/>
              <w:suppressLineNumbers w:val="0"/>
              <w:wordWrap w:val="0"/>
              <w:spacing w:before="0" w:beforeAutospacing="0" w:after="0" w:afterAutospacing="0" w:line="240" w:lineRule="atLeast"/>
              <w:ind w:left="0" w:right="0"/>
              <w:jc w:val="both"/>
            </w:pPr>
            <w:r>
              <w:rPr>
                <w:rFonts w:hint="eastAsia" w:ascii="方正仿宋_GB2312" w:hAnsi="方正仿宋_GB2312" w:eastAsia="方正仿宋_GB2312" w:cs="方正仿宋_GB2312"/>
                <w:kern w:val="0"/>
                <w:sz w:val="28"/>
                <w:szCs w:val="28"/>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方正仿宋_GB2312" w:hAnsi="方正仿宋_GB2312" w:eastAsia="方正仿宋_GB2312" w:cs="方正仿宋_GB2312"/>
          <w:b/>
          <w:bCs/>
          <w:i w:val="0"/>
          <w:iCs w:val="0"/>
          <w:caps w:val="0"/>
          <w:color w:val="000000"/>
          <w:spacing w:val="0"/>
          <w:kern w:val="0"/>
          <w:sz w:val="28"/>
          <w:szCs w:val="28"/>
          <w:bdr w:val="none" w:color="auto" w:sz="0" w:space="0"/>
          <w:shd w:val="clear" w:fill="FFFFFF"/>
          <w:lang w:val="en-US" w:eastAsia="zh-CN" w:bidi="ar"/>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仿宋_GB2312" w:eastAsia="仿宋_GB2312" w:cs="仿宋_GB2312"/>
          <w:kern w:val="0"/>
          <w:sz w:val="28"/>
          <w:szCs w:val="28"/>
          <w:bdr w:val="none" w:color="auto" w:sz="0" w:space="0"/>
          <w:shd w:val="clear" w:fill="FFFFFF"/>
          <w:lang w:val="en-US" w:eastAsia="zh-CN" w:bidi="ar"/>
        </w:rPr>
        <w:t>（一）存在主要问题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仿宋_GB2312" w:eastAsia="仿宋_GB2312" w:cs="仿宋_GB2312"/>
          <w:kern w:val="0"/>
          <w:sz w:val="28"/>
          <w:szCs w:val="28"/>
          <w:bdr w:val="none" w:color="auto" w:sz="0" w:space="0"/>
          <w:shd w:val="clear" w:fill="FFFFFF"/>
          <w:lang w:val="en-US" w:eastAsia="zh-CN" w:bidi="ar"/>
        </w:rPr>
        <w:t>2022年，我镇在政府信息公开上取得了一定成效，但仍存在问题与不足，主要体现在：一是政府公开的主题类目完善更新不够及时；二是群众对政府信息与政务公开工作的认识不够，参与度不高；三是部分公开栏目内容不够全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仿宋_GB2312" w:eastAsia="仿宋_GB2312" w:cs="仿宋_GB2312"/>
          <w:kern w:val="0"/>
          <w:sz w:val="28"/>
          <w:szCs w:val="28"/>
          <w:bdr w:val="none" w:color="auto" w:sz="0" w:space="0"/>
          <w:shd w:val="clear" w:fill="FFFFFF"/>
          <w:lang w:val="en-US" w:eastAsia="zh-CN" w:bidi="ar"/>
        </w:rPr>
        <w:t>（二）改进措施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仿宋_GB2312" w:eastAsia="仿宋_GB2312" w:cs="仿宋_GB2312"/>
          <w:kern w:val="0"/>
          <w:sz w:val="28"/>
          <w:szCs w:val="28"/>
          <w:bdr w:val="none" w:color="auto" w:sz="0" w:space="0"/>
          <w:shd w:val="clear" w:fill="FFFFFF"/>
          <w:lang w:val="en-US" w:eastAsia="zh-CN" w:bidi="ar"/>
        </w:rPr>
        <w:t>针对存在问题，下一步我镇将采取以下措施进行改进：一是夯实公开基础，落实各项要求， 确保政务信息公开工作正常运行、高效便民的政务服务。二是进一步加大管促检查力度，进步完善和规范，把政务公开工作做好，进步提高公开的质量和水平，全面推进村务公开工作上新台阶。三是进一步加大宣传力度。围绕中心工作，利用各种渠道，采取多种形式，向社会和广大群众深入宣传政务公开和信息公开工作的重要意义，加大宣传力度，提升公众的知晓度和参与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方正仿宋_GB2312" w:hAnsi="方正仿宋_GB2312" w:eastAsia="方正仿宋_GB2312" w:cs="方正仿宋_GB2312"/>
          <w:b/>
          <w:bCs/>
          <w:i w:val="0"/>
          <w:iCs w:val="0"/>
          <w:caps w:val="0"/>
          <w:color w:val="000000"/>
          <w:spacing w:val="0"/>
          <w:kern w:val="0"/>
          <w:sz w:val="28"/>
          <w:szCs w:val="28"/>
          <w:bdr w:val="none" w:color="auto" w:sz="0" w:space="0"/>
          <w:shd w:val="clear" w:fill="FFFFFF"/>
          <w:lang w:val="en-US" w:eastAsia="zh-CN" w:bidi="ar"/>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方正仿宋_GB2312" w:hAnsi="方正仿宋_GB2312" w:eastAsia="方正仿宋_GB2312" w:cs="方正仿宋_GB2312"/>
          <w:i w:val="0"/>
          <w:iCs w:val="0"/>
          <w:caps w:val="0"/>
          <w:color w:val="000000"/>
          <w:spacing w:val="0"/>
          <w:kern w:val="0"/>
          <w:sz w:val="28"/>
          <w:szCs w:val="28"/>
          <w:bdr w:val="none" w:color="auto" w:sz="0" w:space="0"/>
          <w:shd w:val="clear" w:fill="FFFFFF"/>
          <w:lang w:val="en-US" w:eastAsia="zh-CN" w:bidi="ar"/>
        </w:rPr>
        <w:t>2022年度，本机关无收取信息处理费情况。</w:t>
      </w:r>
    </w:p>
    <w:p>
      <w:pPr>
        <w:rPr>
          <w:rFonts w:hint="eastAsia" w:ascii="方正仿宋_GB2312" w:hAnsi="方正仿宋_GB2312" w:eastAsia="方正仿宋_GB2312" w:cs="方正仿宋_GB2312"/>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1" w:fontKey="{E907E9EF-14A5-4B11-8E38-F7BABCC15289}"/>
  </w:font>
  <w:font w:name="仿宋_GB2312">
    <w:panose1 w:val="02010609030101010101"/>
    <w:charset w:val="86"/>
    <w:family w:val="auto"/>
    <w:pitch w:val="default"/>
    <w:sig w:usb0="00000001" w:usb1="080E0000" w:usb2="00000000" w:usb3="00000000" w:csb0="00040000" w:csb1="00000000"/>
    <w:embedRegular r:id="rId2" w:fontKey="{BFADD1E3-DA0E-46B5-8249-FD802AD3B013}"/>
  </w:font>
  <w:font w:name="微软雅黑">
    <w:panose1 w:val="020B0503020204020204"/>
    <w:charset w:val="86"/>
    <w:family w:val="auto"/>
    <w:pitch w:val="default"/>
    <w:sig w:usb0="80000287" w:usb1="28CF3C52" w:usb2="00000016" w:usb3="00000000" w:csb0="0004001F" w:csb1="00000000"/>
    <w:embedRegular r:id="rId3" w:fontKey="{D4B8746A-34C9-4E65-9A45-C1D7DA42554D}"/>
  </w:font>
  <w:font w:name="Arial Unicode MS">
    <w:panose1 w:val="020B0604020202020204"/>
    <w:charset w:val="86"/>
    <w:family w:val="auto"/>
    <w:pitch w:val="default"/>
    <w:sig w:usb0="FFFFFFFF" w:usb1="E9FFFFFF" w:usb2="0000003F" w:usb3="00000000" w:csb0="603F01FF" w:csb1="FFFF0000"/>
    <w:embedRegular r:id="rId4" w:fontKey="{E04F14FD-5D16-430C-94BB-FDF507A26A0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YjI5YmNhYTM2NGFkNzljNjhhYmNkOTFkNTc3N2EifQ=="/>
  </w:docVars>
  <w:rsids>
    <w:rsidRoot w:val="00000000"/>
    <w:rsid w:val="0CAF5909"/>
    <w:rsid w:val="18FF05D1"/>
    <w:rsid w:val="1A967264"/>
    <w:rsid w:val="21040FF7"/>
    <w:rsid w:val="2A990597"/>
    <w:rsid w:val="5A3E682B"/>
    <w:rsid w:val="5D700A39"/>
    <w:rsid w:val="6B1A4E37"/>
    <w:rsid w:val="6C3F7021"/>
    <w:rsid w:val="730959FB"/>
    <w:rsid w:val="74112CC8"/>
    <w:rsid w:val="7ACB4E52"/>
    <w:rsid w:val="7AD41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1988</Words>
  <Characters>2035</Characters>
  <Lines>0</Lines>
  <Paragraphs>0</Paragraphs>
  <TotalTime>1</TotalTime>
  <ScaleCrop>false</ScaleCrop>
  <LinksUpToDate>false</LinksUpToDate>
  <CharactersWithSpaces>2039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2023-01-03T09:36:00Z</dcterms:created>
  <dc:creator>Administrator</dc:creator>
  <cp:lastModifiedBy>Administrator</cp:lastModifiedBy>
  <dcterms:modified xsi:type="dcterms:W3CDTF">2024-01-05T03:05:33Z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52668A27CEE74CE8A5C2316C035978DE_13</vt:lpwstr>
  </property>
</Properties>
</file>