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center"/>
        <w:rPr>
          <w:rFonts w:hint="eastAsia" w:ascii="方正小标宋简体" w:hAnsi="方正小标宋简体" w:eastAsia="方正小标宋简体" w:cs="方正小标宋简体"/>
          <w:i w:val="0"/>
          <w:iCs w:val="0"/>
          <w:caps w:val="0"/>
          <w:color w:val="000000"/>
          <w:spacing w:val="0"/>
          <w:sz w:val="36"/>
          <w:szCs w:val="36"/>
          <w:shd w:val="clear" w:fill="FFFFFF"/>
        </w:rPr>
      </w:pPr>
      <w:r>
        <w:rPr>
          <w:rFonts w:hint="eastAsia" w:ascii="方正小标宋简体" w:hAnsi="方正小标宋简体" w:eastAsia="方正小标宋简体" w:cs="方正小标宋简体"/>
          <w:i w:val="0"/>
          <w:iCs w:val="0"/>
          <w:caps w:val="0"/>
          <w:color w:val="000000"/>
          <w:spacing w:val="0"/>
          <w:sz w:val="36"/>
          <w:szCs w:val="36"/>
          <w:shd w:val="clear" w:fill="FFFFFF"/>
        </w:rPr>
        <w:t>高安市筠阳街道202</w:t>
      </w:r>
      <w:r>
        <w:rPr>
          <w:rFonts w:hint="eastAsia" w:ascii="方正小标宋简体" w:hAnsi="方正小标宋简体" w:eastAsia="方正小标宋简体" w:cs="方正小标宋简体"/>
          <w:i w:val="0"/>
          <w:iCs w:val="0"/>
          <w:caps w:val="0"/>
          <w:color w:val="000000"/>
          <w:spacing w:val="0"/>
          <w:sz w:val="36"/>
          <w:szCs w:val="36"/>
          <w:shd w:val="clear" w:fill="FFFFFF"/>
          <w:lang w:val="en-US" w:eastAsia="zh-CN"/>
        </w:rPr>
        <w:t>2</w:t>
      </w:r>
      <w:r>
        <w:rPr>
          <w:rFonts w:hint="eastAsia" w:ascii="方正小标宋简体" w:hAnsi="方正小标宋简体" w:eastAsia="方正小标宋简体" w:cs="方正小标宋简体"/>
          <w:i w:val="0"/>
          <w:iCs w:val="0"/>
          <w:caps w:val="0"/>
          <w:color w:val="000000"/>
          <w:spacing w:val="0"/>
          <w:sz w:val="36"/>
          <w:szCs w:val="36"/>
          <w:shd w:val="clear" w:fill="FFFFFF"/>
        </w:rPr>
        <w:t>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center"/>
        <w:rPr>
          <w:rFonts w:hint="eastAsia" w:ascii="方正小标宋简体" w:hAnsi="方正小标宋简体" w:eastAsia="方正小标宋简体" w:cs="方正小标宋简体"/>
          <w:i w:val="0"/>
          <w:iCs w:val="0"/>
          <w:caps w:val="0"/>
          <w:color w:val="000000"/>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本报告依据《中华人民共和国政府信息公开条例》（国务院令第711号，以下简称新《条例》）和《国务院办公厅政府信息与政务公开办公室关于印发中华人民共和国政府信息公开工作年度报告格式的通知》（国办公开办函〔2021〕30号）要求，由筠阳街道结合有关统计数据编制。本年度报告中所列数据的统计期限自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年1月1日起至202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年12月31日止。全文包括总体情况</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主动公开政府信息情况</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收到和处理政府信息公开申请情况</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政府信息公开行政复议</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行政诉讼情况</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存在的主要问题及改进情况</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其他需要报告的事项。本年度报告的电子版可以从高安市人民政府网站（http://www.gaoan.gov.cn）下载。如对本报告有任何疑问，请与筠阳街道党政办联系（地址：江西省高安市高荷路39号，电话：0795-5229726，邮编：330800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年筠阳街道坚持以习近平新时代中国特色社会主义思想为指导，</w:t>
      </w:r>
      <w:r>
        <w:rPr>
          <w:rFonts w:hint="eastAsia" w:ascii="宋体" w:hAnsi="宋体" w:eastAsia="宋体" w:cs="宋体"/>
          <w:i w:val="0"/>
          <w:iCs w:val="0"/>
          <w:caps w:val="0"/>
          <w:color w:val="000000"/>
          <w:spacing w:val="0"/>
          <w:sz w:val="28"/>
          <w:szCs w:val="28"/>
          <w:shd w:val="clear" w:fill="FFFFFF"/>
          <w:lang w:eastAsia="zh-CN"/>
        </w:rPr>
        <w:t>全面</w:t>
      </w:r>
      <w:r>
        <w:rPr>
          <w:rFonts w:hint="eastAsia" w:ascii="宋体" w:hAnsi="宋体" w:eastAsia="宋体" w:cs="宋体"/>
          <w:i w:val="0"/>
          <w:iCs w:val="0"/>
          <w:caps w:val="0"/>
          <w:color w:val="000000"/>
          <w:spacing w:val="0"/>
          <w:sz w:val="28"/>
          <w:szCs w:val="28"/>
          <w:shd w:val="clear" w:fill="FFFFFF"/>
        </w:rPr>
        <w:t>贯彻</w:t>
      </w:r>
      <w:r>
        <w:rPr>
          <w:rFonts w:hint="eastAsia" w:ascii="宋体" w:hAnsi="宋体" w:eastAsia="宋体" w:cs="宋体"/>
          <w:i w:val="0"/>
          <w:iCs w:val="0"/>
          <w:caps w:val="0"/>
          <w:color w:val="000000"/>
          <w:spacing w:val="0"/>
          <w:sz w:val="28"/>
          <w:szCs w:val="28"/>
          <w:shd w:val="clear" w:fill="FFFFFF"/>
          <w:lang w:eastAsia="zh-CN"/>
        </w:rPr>
        <w:t>落实</w:t>
      </w:r>
      <w:r>
        <w:rPr>
          <w:rFonts w:hint="eastAsia" w:ascii="宋体" w:hAnsi="宋体" w:eastAsia="宋体" w:cs="宋体"/>
          <w:i w:val="0"/>
          <w:iCs w:val="0"/>
          <w:caps w:val="0"/>
          <w:color w:val="000000"/>
          <w:spacing w:val="0"/>
          <w:sz w:val="28"/>
          <w:szCs w:val="28"/>
          <w:shd w:val="clear" w:fill="FFFFFF"/>
        </w:rPr>
        <w:t>党的</w:t>
      </w:r>
      <w:r>
        <w:rPr>
          <w:rFonts w:hint="eastAsia" w:ascii="宋体" w:hAnsi="宋体" w:eastAsia="宋体" w:cs="宋体"/>
          <w:i w:val="0"/>
          <w:iCs w:val="0"/>
          <w:caps w:val="0"/>
          <w:color w:val="000000"/>
          <w:spacing w:val="0"/>
          <w:sz w:val="28"/>
          <w:szCs w:val="28"/>
          <w:shd w:val="clear" w:fill="FFFFFF"/>
          <w:lang w:eastAsia="zh-CN"/>
        </w:rPr>
        <w:t>二十</w:t>
      </w:r>
      <w:r>
        <w:rPr>
          <w:rFonts w:hint="eastAsia" w:ascii="宋体" w:hAnsi="宋体" w:eastAsia="宋体" w:cs="宋体"/>
          <w:i w:val="0"/>
          <w:iCs w:val="0"/>
          <w:caps w:val="0"/>
          <w:color w:val="000000"/>
          <w:spacing w:val="0"/>
          <w:sz w:val="28"/>
          <w:szCs w:val="28"/>
          <w:shd w:val="clear" w:fill="FFFFFF"/>
        </w:rPr>
        <w:t>大精神，严格落实《国务院办公厅印发〈关于全面推进政务公开工作的意见〉实施细则的通知》（国办发〔2016〕80号）和《国务院办公厅政府信息与政务公开办公室关于印发中华人民共和国政府信息公开工作年度报告格式的通知》（国办公开办函〔2021〕30号）的要求。同时积极对《江西省人民政府办公厅关于印发江西省政务公开工作安排的通知》要求明确目标任务，紧紧围绕省委、省政府中心工作及社会群众关注关切，着力提升政府信息公开质量，推进拓宽政府信息公开渠道，不断增强政府信息公开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我办重新梳理了主动公开服务事项，通过市政府门户网站、宣传栏、LED显示屏等渠道主动公开政府信息300余条。主要是机构简介、发展规划、工作动态、重点领域、财政信息、信息公开年度报告等内容。可通过高安市政府门户网站的“政府信息公开”栏目查询我单位主动公开的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年我街办未收到依申请公开的信息。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1、规范化标准化建设。立足全心全意为人民服务，围绕与群众关系密切的行政行为和服务事项，充分征集群众意见，按照“应公开、尽公开”的要求，全面梳理公开事项，细化公开内容，积极探索高效、便捷的公开方式，让群众看得到、听得懂、易获取、能监督、好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2、数字化管理。加大数据公开力度。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3、规范信息审核发布机制。加强信息发布审核制度。街办各科室发布的信息须经分管领导审核同意后才能发布，本着“谁报送、谁负责，谁承诺、谁办理”的原则，认真做好信息公开审核。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4、规范性文件清理。规范性文件专项清理已完成。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（四）政府信息公开平台建设。优化政府信息公开平台功能和保障数据统一。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（五）监督保障。党政办负责对政府信息公开的实施情况进行日常监督检查，对存在的问题及时反馈相关科室；对拒不改正、整改不力的，按有关规定予以处理。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二、主动公开政府信息情况</w:t>
      </w:r>
    </w:p>
    <w:tbl>
      <w:tblPr>
        <w:tblStyle w:val="5"/>
        <w:tblW w:w="8349"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084"/>
        <w:gridCol w:w="28"/>
        <w:gridCol w:w="1981"/>
        <w:gridCol w:w="1996"/>
        <w:gridCol w:w="2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8349" w:type="dxa"/>
            <w:gridSpan w:val="5"/>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exact"/>
          <w:tblCellSpacing w:w="0" w:type="dxa"/>
        </w:trPr>
        <w:tc>
          <w:tcPr>
            <w:tcW w:w="2112" w:type="dxa"/>
            <w:gridSpan w:val="2"/>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信息内容</w:t>
            </w:r>
          </w:p>
        </w:tc>
        <w:tc>
          <w:tcPr>
            <w:tcW w:w="1981"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本年制发件数</w:t>
            </w:r>
          </w:p>
        </w:tc>
        <w:tc>
          <w:tcPr>
            <w:tcW w:w="1996"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本年废止件数</w:t>
            </w:r>
          </w:p>
        </w:tc>
        <w:tc>
          <w:tcPr>
            <w:tcW w:w="2260"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2112"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规章</w:t>
            </w:r>
          </w:p>
        </w:tc>
        <w:tc>
          <w:tcPr>
            <w:tcW w:w="1981"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rPr>
              <w:t>0</w:t>
            </w:r>
          </w:p>
        </w:tc>
        <w:tc>
          <w:tcPr>
            <w:tcW w:w="19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rPr>
              <w:t>0</w:t>
            </w:r>
          </w:p>
        </w:tc>
        <w:tc>
          <w:tcPr>
            <w:tcW w:w="22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exact"/>
          <w:tblCellSpacing w:w="0" w:type="dxa"/>
        </w:trPr>
        <w:tc>
          <w:tcPr>
            <w:tcW w:w="2112"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行政规范性文件</w:t>
            </w:r>
          </w:p>
        </w:tc>
        <w:tc>
          <w:tcPr>
            <w:tcW w:w="1981"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w:t>
            </w:r>
          </w:p>
        </w:tc>
        <w:tc>
          <w:tcPr>
            <w:tcW w:w="19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rPr>
              <w:t>0</w:t>
            </w:r>
          </w:p>
        </w:tc>
        <w:tc>
          <w:tcPr>
            <w:tcW w:w="22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8349" w:type="dxa"/>
            <w:gridSpan w:val="5"/>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exact"/>
          <w:tblCellSpacing w:w="0" w:type="dxa"/>
        </w:trPr>
        <w:tc>
          <w:tcPr>
            <w:tcW w:w="2112"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信息内容</w:t>
            </w:r>
          </w:p>
        </w:tc>
        <w:tc>
          <w:tcPr>
            <w:tcW w:w="6237" w:type="dxa"/>
            <w:gridSpan w:val="3"/>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2112"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行政许可</w:t>
            </w:r>
          </w:p>
        </w:tc>
        <w:tc>
          <w:tcPr>
            <w:tcW w:w="6237" w:type="dxa"/>
            <w:gridSpan w:val="3"/>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auto"/>
                <w:spacing w:val="0"/>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8349" w:type="dxa"/>
            <w:gridSpan w:val="5"/>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208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信息内容</w:t>
            </w:r>
          </w:p>
        </w:tc>
        <w:tc>
          <w:tcPr>
            <w:tcW w:w="6265" w:type="dxa"/>
            <w:gridSpan w:val="4"/>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exact"/>
          <w:tblCellSpacing w:w="0" w:type="dxa"/>
        </w:trPr>
        <w:tc>
          <w:tcPr>
            <w:tcW w:w="208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行政处罚</w:t>
            </w:r>
          </w:p>
        </w:tc>
        <w:tc>
          <w:tcPr>
            <w:tcW w:w="6265" w:type="dxa"/>
            <w:gridSpan w:val="4"/>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auto"/>
                <w:spacing w:val="0"/>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208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行政强制</w:t>
            </w:r>
          </w:p>
        </w:tc>
        <w:tc>
          <w:tcPr>
            <w:tcW w:w="6265" w:type="dxa"/>
            <w:gridSpan w:val="4"/>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exact"/>
          <w:tblCellSpacing w:w="0" w:type="dxa"/>
        </w:trPr>
        <w:tc>
          <w:tcPr>
            <w:tcW w:w="8349" w:type="dxa"/>
            <w:gridSpan w:val="5"/>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exact"/>
          <w:tblCellSpacing w:w="0" w:type="dxa"/>
        </w:trPr>
        <w:tc>
          <w:tcPr>
            <w:tcW w:w="208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信息内容</w:t>
            </w:r>
          </w:p>
        </w:tc>
        <w:tc>
          <w:tcPr>
            <w:tcW w:w="6265" w:type="dxa"/>
            <w:gridSpan w:val="4"/>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exact"/>
          <w:tblCellSpacing w:w="0" w:type="dxa"/>
        </w:trPr>
        <w:tc>
          <w:tcPr>
            <w:tcW w:w="208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行政事业性收费</w:t>
            </w:r>
          </w:p>
        </w:tc>
        <w:tc>
          <w:tcPr>
            <w:tcW w:w="6265" w:type="dxa"/>
            <w:gridSpan w:val="4"/>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 </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三、收到和处理政府信息公开申请情况</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36"/>
        <w:gridCol w:w="965"/>
        <w:gridCol w:w="3703"/>
        <w:gridCol w:w="410"/>
        <w:gridCol w:w="432"/>
        <w:gridCol w:w="366"/>
        <w:gridCol w:w="454"/>
        <w:gridCol w:w="410"/>
        <w:gridCol w:w="432"/>
        <w:gridCol w:w="4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600" w:type="dxa"/>
            <w:gridSpan w:val="3"/>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（本列数据的勾稽关系为：第一项加第二项之和，等于第三项加第四项之和）</w:t>
            </w:r>
          </w:p>
        </w:tc>
        <w:tc>
          <w:tcPr>
            <w:tcW w:w="3135" w:type="dxa"/>
            <w:gridSpan w:val="7"/>
            <w:shd w:val="clear"/>
            <w:vAlign w:val="center"/>
          </w:tcPr>
          <w:p>
            <w:pPr>
              <w:pStyle w:val="4"/>
              <w:keepNext w:val="0"/>
              <w:keepLines w:val="0"/>
              <w:widowControl/>
              <w:suppressLineNumbers w:val="0"/>
              <w:spacing w:before="0" w:beforeAutospacing="0" w:after="0" w:afterAutospacing="0" w:line="27" w:lineRule="atLeast"/>
              <w:jc w:val="center"/>
              <w:rPr>
                <w:rFonts w:hint="eastAsia" w:ascii="宋体" w:hAnsi="宋体" w:eastAsia="宋体" w:cs="宋体"/>
                <w:sz w:val="28"/>
                <w:szCs w:val="28"/>
              </w:rPr>
            </w:pPr>
            <w:r>
              <w:rPr>
                <w:rFonts w:hint="eastAsia" w:ascii="宋体" w:hAnsi="宋体" w:eastAsia="宋体" w:cs="宋体"/>
                <w:sz w:val="28"/>
                <w:szCs w:val="28"/>
              </w:rPr>
              <w:t>申请人情</w:t>
            </w:r>
            <w:bookmarkStart w:id="0" w:name="_GoBack"/>
            <w:bookmarkEnd w:id="0"/>
            <w:r>
              <w:rPr>
                <w:rFonts w:hint="eastAsia" w:ascii="宋体" w:hAnsi="宋体" w:eastAsia="宋体" w:cs="宋体"/>
                <w:sz w:val="28"/>
                <w:szCs w:val="28"/>
              </w:rPr>
              <w:t>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600" w:type="dxa"/>
            <w:gridSpan w:val="3"/>
            <w:vMerge w:val="continue"/>
            <w:shd w:val="clear"/>
            <w:vAlign w:val="center"/>
          </w:tcPr>
          <w:p>
            <w:pPr>
              <w:rPr>
                <w:rFonts w:hint="eastAsia" w:ascii="宋体" w:hAnsi="宋体" w:eastAsia="宋体" w:cs="宋体"/>
                <w:sz w:val="28"/>
                <w:szCs w:val="28"/>
              </w:rPr>
            </w:pPr>
          </w:p>
        </w:tc>
        <w:tc>
          <w:tcPr>
            <w:tcW w:w="435"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自</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然</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人</w:t>
            </w:r>
          </w:p>
        </w:tc>
        <w:tc>
          <w:tcPr>
            <w:tcW w:w="2235" w:type="dxa"/>
            <w:gridSpan w:val="5"/>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法人或其他组织</w:t>
            </w:r>
          </w:p>
        </w:tc>
        <w:tc>
          <w:tcPr>
            <w:tcW w:w="465"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600" w:type="dxa"/>
            <w:gridSpan w:val="3"/>
            <w:vMerge w:val="continue"/>
            <w:shd w:val="clear"/>
            <w:vAlign w:val="center"/>
          </w:tcPr>
          <w:p>
            <w:pPr>
              <w:rPr>
                <w:rFonts w:hint="eastAsia" w:ascii="宋体" w:hAnsi="宋体" w:eastAsia="宋体" w:cs="宋体"/>
                <w:sz w:val="28"/>
                <w:szCs w:val="28"/>
              </w:rPr>
            </w:pPr>
          </w:p>
        </w:tc>
        <w:tc>
          <w:tcPr>
            <w:tcW w:w="435" w:type="dxa"/>
            <w:vMerge w:val="continue"/>
            <w:shd w:val="clear"/>
            <w:vAlign w:val="center"/>
          </w:tcPr>
          <w:p>
            <w:pPr>
              <w:rPr>
                <w:rFonts w:hint="eastAsia" w:ascii="宋体" w:hAnsi="宋体" w:eastAsia="宋体" w:cs="宋体"/>
                <w:sz w:val="28"/>
                <w:szCs w:val="28"/>
              </w:rPr>
            </w:pP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商业</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企业</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科研</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机构</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社会公益组织</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法律服务机构</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w:t>
            </w:r>
          </w:p>
        </w:tc>
        <w:tc>
          <w:tcPr>
            <w:tcW w:w="465" w:type="dxa"/>
            <w:vMerge w:val="continue"/>
            <w:shd w:val="clear"/>
            <w:vAlign w:val="center"/>
          </w:tcPr>
          <w:p>
            <w:pPr>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600" w:type="dxa"/>
            <w:gridSpan w:val="3"/>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一、本年新收政府信息公开申请数量</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600" w:type="dxa"/>
            <w:gridSpan w:val="3"/>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二、上年结转政府信息公开申请数量</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三、本年度办理结果</w:t>
            </w:r>
          </w:p>
        </w:tc>
        <w:tc>
          <w:tcPr>
            <w:tcW w:w="5820" w:type="dxa"/>
            <w:gridSpan w:val="2"/>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（一）予以公开</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5820" w:type="dxa"/>
            <w:gridSpan w:val="2"/>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（二）部分公开（区分处理的，只计这一情形，不计其他情形）</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（三）不予公开</w:t>
            </w: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1.属于国家秘密</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2.其他法律行政法规禁止公开</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3.危及“三安全一稳定”</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4.保护第三方合法权益</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5.属于三类内部事务信息</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6.属于四类过程性信息</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7.属于行政执法案卷</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8.属于行政查询事项</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（四）无法提供</w:t>
            </w: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1.本机关不掌握相关政府信息</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2.没有现成信息需要另行制作</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3.补正后申请内容仍不明确</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（五）不予处理</w:t>
            </w: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1.信访举报投诉类申请</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2.重复申请</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3.要求提供公开出版物</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4.无正当理由大量反复申请</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5.要求行政机关确认或重新出具已获取信息</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（六）其他处理</w:t>
            </w:r>
          </w:p>
        </w:tc>
        <w:tc>
          <w:tcPr>
            <w:tcW w:w="481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1.申请人无正当理由逾期不补正、行政机关不再处理其政府信息公开申请</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2.申请人逾期未按收费通知要求缴纳费用、行政机关不再处理其政府信息公开申请</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990" w:type="dxa"/>
            <w:vMerge w:val="continue"/>
            <w:shd w:val="clear"/>
            <w:vAlign w:val="center"/>
          </w:tcPr>
          <w:p>
            <w:pPr>
              <w:rPr>
                <w:rFonts w:hint="eastAsia" w:ascii="宋体" w:hAnsi="宋体" w:eastAsia="宋体" w:cs="宋体"/>
                <w:sz w:val="28"/>
                <w:szCs w:val="28"/>
              </w:rPr>
            </w:pPr>
          </w:p>
        </w:tc>
        <w:tc>
          <w:tcPr>
            <w:tcW w:w="481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3.其他</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shd w:val="clear"/>
            <w:vAlign w:val="center"/>
          </w:tcPr>
          <w:p>
            <w:pPr>
              <w:rPr>
                <w:rFonts w:hint="eastAsia" w:ascii="宋体" w:hAnsi="宋体" w:eastAsia="宋体" w:cs="宋体"/>
                <w:sz w:val="28"/>
                <w:szCs w:val="28"/>
              </w:rPr>
            </w:pPr>
          </w:p>
        </w:tc>
        <w:tc>
          <w:tcPr>
            <w:tcW w:w="5820" w:type="dxa"/>
            <w:gridSpan w:val="2"/>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（七）总计</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600" w:type="dxa"/>
            <w:gridSpan w:val="3"/>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四、结转下年度继续办理</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6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37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9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35"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0 </w:t>
            </w:r>
          </w:p>
        </w:tc>
        <w:tc>
          <w:tcPr>
            <w:tcW w:w="45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465" w:type="dxa"/>
            <w:shd w:val="clear"/>
            <w:vAlign w:val="top"/>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bl>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四、政府信息公开行政复议、行政诉讼情况</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48"/>
        <w:gridCol w:w="548"/>
        <w:gridCol w:w="548"/>
        <w:gridCol w:w="548"/>
        <w:gridCol w:w="591"/>
        <w:gridCol w:w="548"/>
        <w:gridCol w:w="548"/>
        <w:gridCol w:w="548"/>
        <w:gridCol w:w="548"/>
        <w:gridCol w:w="591"/>
        <w:gridCol w:w="548"/>
        <w:gridCol w:w="548"/>
        <w:gridCol w:w="548"/>
        <w:gridCol w:w="549"/>
        <w:gridCol w:w="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210" w:type="dxa"/>
            <w:gridSpan w:val="5"/>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行政复议</w:t>
            </w:r>
          </w:p>
        </w:tc>
        <w:tc>
          <w:tcPr>
            <w:tcW w:w="6420" w:type="dxa"/>
            <w:gridSpan w:val="10"/>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3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结果维持</w:t>
            </w:r>
          </w:p>
        </w:tc>
        <w:tc>
          <w:tcPr>
            <w:tcW w:w="63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纠正</w:t>
            </w:r>
          </w:p>
        </w:tc>
        <w:tc>
          <w:tcPr>
            <w:tcW w:w="63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tc>
        <w:tc>
          <w:tcPr>
            <w:tcW w:w="63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尚未</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审结</w:t>
            </w:r>
          </w:p>
        </w:tc>
        <w:tc>
          <w:tcPr>
            <w:tcW w:w="630" w:type="dxa"/>
            <w:vMerge w:val="restart"/>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c>
          <w:tcPr>
            <w:tcW w:w="3210" w:type="dxa"/>
            <w:gridSpan w:val="5"/>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未经复议直接起诉</w:t>
            </w:r>
          </w:p>
        </w:tc>
        <w:tc>
          <w:tcPr>
            <w:tcW w:w="3210" w:type="dxa"/>
            <w:gridSpan w:val="5"/>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30" w:type="dxa"/>
            <w:vMerge w:val="continue"/>
            <w:shd w:val="clear"/>
            <w:vAlign w:val="center"/>
          </w:tcPr>
          <w:p>
            <w:pPr>
              <w:rPr>
                <w:rFonts w:hint="eastAsia" w:ascii="宋体" w:hAnsi="宋体" w:eastAsia="宋体" w:cs="宋体"/>
                <w:sz w:val="28"/>
                <w:szCs w:val="28"/>
              </w:rPr>
            </w:pPr>
          </w:p>
        </w:tc>
        <w:tc>
          <w:tcPr>
            <w:tcW w:w="630" w:type="dxa"/>
            <w:vMerge w:val="continue"/>
            <w:shd w:val="clear"/>
            <w:vAlign w:val="center"/>
          </w:tcPr>
          <w:p>
            <w:pPr>
              <w:rPr>
                <w:rFonts w:hint="eastAsia" w:ascii="宋体" w:hAnsi="宋体" w:eastAsia="宋体" w:cs="宋体"/>
                <w:sz w:val="28"/>
                <w:szCs w:val="28"/>
              </w:rPr>
            </w:pPr>
          </w:p>
        </w:tc>
        <w:tc>
          <w:tcPr>
            <w:tcW w:w="630" w:type="dxa"/>
            <w:vMerge w:val="continue"/>
            <w:shd w:val="clear"/>
            <w:vAlign w:val="center"/>
          </w:tcPr>
          <w:p>
            <w:pPr>
              <w:rPr>
                <w:rFonts w:hint="eastAsia" w:ascii="宋体" w:hAnsi="宋体" w:eastAsia="宋体" w:cs="宋体"/>
                <w:sz w:val="28"/>
                <w:szCs w:val="28"/>
              </w:rPr>
            </w:pPr>
          </w:p>
        </w:tc>
        <w:tc>
          <w:tcPr>
            <w:tcW w:w="630" w:type="dxa"/>
            <w:vMerge w:val="continue"/>
            <w:shd w:val="clear"/>
            <w:vAlign w:val="center"/>
          </w:tcPr>
          <w:p>
            <w:pPr>
              <w:rPr>
                <w:rFonts w:hint="eastAsia" w:ascii="宋体" w:hAnsi="宋体" w:eastAsia="宋体" w:cs="宋体"/>
                <w:sz w:val="28"/>
                <w:szCs w:val="28"/>
              </w:rPr>
            </w:pPr>
          </w:p>
        </w:tc>
        <w:tc>
          <w:tcPr>
            <w:tcW w:w="630" w:type="dxa"/>
            <w:vMerge w:val="continue"/>
            <w:shd w:val="clear"/>
            <w:vAlign w:val="center"/>
          </w:tcPr>
          <w:p>
            <w:pPr>
              <w:rPr>
                <w:rFonts w:hint="eastAsia" w:ascii="宋体" w:hAnsi="宋体" w:eastAsia="宋体" w:cs="宋体"/>
                <w:sz w:val="28"/>
                <w:szCs w:val="28"/>
              </w:rPr>
            </w:pP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维持</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纠正</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尚未</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审结</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维持</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纠正</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尚未</w:t>
            </w:r>
          </w:p>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审结</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30" w:type="dxa"/>
            <w:shd w:val="clear"/>
            <w:vAlign w:val="center"/>
          </w:tcPr>
          <w:p>
            <w:pPr>
              <w:pStyle w:val="4"/>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存在的主要问题：一是政务公开的组织建设仍需加改进。二是依法主动公开意识有待增强。三是推进重大决策公开落实不到，力度不够，需进一步整改落实。四是信息公开类型及内容覆盖不够全面，对公众关心的热点、焦点问题信息关注、回应不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改进情况：1、规范提升主动公开工作。2、加强信息报送数量和质量的提升。3、强化政府信息公开制度和机制落实。4、加强政府信息公开工作理论学习和业务培训。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 w:lineRule="atLeast"/>
        <w:ind w:right="0" w:firstLine="560" w:firstLineChars="200"/>
        <w:jc w:val="lef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lang w:val="en-US" w:eastAsia="zh-CN"/>
        </w:rPr>
        <w:t>2022年度，本机关</w:t>
      </w:r>
      <w:r>
        <w:rPr>
          <w:rFonts w:hint="eastAsia" w:ascii="宋体" w:hAnsi="宋体" w:eastAsia="宋体" w:cs="宋体"/>
          <w:i w:val="0"/>
          <w:iCs w:val="0"/>
          <w:caps w:val="0"/>
          <w:color w:val="000000"/>
          <w:spacing w:val="0"/>
          <w:sz w:val="28"/>
          <w:szCs w:val="28"/>
          <w:shd w:val="clear" w:fill="FFFFFF"/>
        </w:rPr>
        <w:t>无</w:t>
      </w:r>
      <w:r>
        <w:rPr>
          <w:rFonts w:hint="eastAsia" w:ascii="宋体" w:hAnsi="宋体" w:eastAsia="宋体" w:cs="宋体"/>
          <w:i w:val="0"/>
          <w:iCs w:val="0"/>
          <w:caps w:val="0"/>
          <w:color w:val="000000"/>
          <w:spacing w:val="0"/>
          <w:sz w:val="28"/>
          <w:szCs w:val="28"/>
          <w:shd w:val="clear" w:fill="FFFFFF"/>
          <w:lang w:eastAsia="zh-CN"/>
        </w:rPr>
        <w:t>收取信息处理费情况</w:t>
      </w:r>
      <w:r>
        <w:rPr>
          <w:rFonts w:hint="eastAsia" w:ascii="宋体" w:hAnsi="宋体" w:eastAsia="宋体" w:cs="宋体"/>
          <w:i w:val="0"/>
          <w:iCs w:val="0"/>
          <w:caps w:val="0"/>
          <w:color w:val="000000"/>
          <w:spacing w:val="0"/>
          <w:sz w:val="28"/>
          <w:szCs w:val="28"/>
          <w:shd w:val="clear" w:fill="FFFFFF"/>
        </w:rPr>
        <w:t>。</w:t>
      </w:r>
    </w:p>
    <w:p>
      <w:pPr>
        <w:rPr>
          <w:rFonts w:hint="eastAsia" w:ascii="宋体" w:hAnsi="宋体" w:eastAsia="宋体" w:cs="宋体"/>
          <w:sz w:val="28"/>
          <w:szCs w:val="28"/>
        </w:rPr>
      </w:pPr>
    </w:p>
    <w:p>
      <w:pPr>
        <w:rPr>
          <w:rFonts w:hint="eastAsia" w:ascii="宋体" w:hAnsi="宋体" w:eastAsia="宋体" w:cs="宋体"/>
          <w:sz w:val="28"/>
          <w:szCs w:val="28"/>
        </w:rPr>
      </w:pP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高安市筠阳街道办事处</w:t>
      </w:r>
    </w:p>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2023年1月11日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ZjZlMWU2OWUwNmM3MDYwYTkzMmZjMzc3OTkxMTcifQ=="/>
  </w:docVars>
  <w:rsids>
    <w:rsidRoot w:val="44A053D1"/>
    <w:rsid w:val="00364FD6"/>
    <w:rsid w:val="0047439D"/>
    <w:rsid w:val="004F4864"/>
    <w:rsid w:val="005A489F"/>
    <w:rsid w:val="006F0560"/>
    <w:rsid w:val="01FF1E15"/>
    <w:rsid w:val="026554D2"/>
    <w:rsid w:val="02E81E20"/>
    <w:rsid w:val="033E53AB"/>
    <w:rsid w:val="03AD7170"/>
    <w:rsid w:val="0429662C"/>
    <w:rsid w:val="04412B23"/>
    <w:rsid w:val="05335ACE"/>
    <w:rsid w:val="06A14F91"/>
    <w:rsid w:val="085009E6"/>
    <w:rsid w:val="09455FEF"/>
    <w:rsid w:val="0A857B1E"/>
    <w:rsid w:val="0AB1199D"/>
    <w:rsid w:val="0B401C82"/>
    <w:rsid w:val="0B9E6BA1"/>
    <w:rsid w:val="0C4307E2"/>
    <w:rsid w:val="0C8A6783"/>
    <w:rsid w:val="0D3C3353"/>
    <w:rsid w:val="0DFE5677"/>
    <w:rsid w:val="0E947440"/>
    <w:rsid w:val="102533AC"/>
    <w:rsid w:val="11DA4828"/>
    <w:rsid w:val="14EF5D19"/>
    <w:rsid w:val="15100AF0"/>
    <w:rsid w:val="15530A9E"/>
    <w:rsid w:val="16963F74"/>
    <w:rsid w:val="18AA03D8"/>
    <w:rsid w:val="18DD1142"/>
    <w:rsid w:val="194E58DC"/>
    <w:rsid w:val="1A0618A1"/>
    <w:rsid w:val="1AA737B6"/>
    <w:rsid w:val="1B0821D9"/>
    <w:rsid w:val="1B5C3A73"/>
    <w:rsid w:val="1C645742"/>
    <w:rsid w:val="1D4C4E76"/>
    <w:rsid w:val="1D594DFC"/>
    <w:rsid w:val="1D744205"/>
    <w:rsid w:val="1E622129"/>
    <w:rsid w:val="1E6A73D5"/>
    <w:rsid w:val="1E6C0B4E"/>
    <w:rsid w:val="1E753416"/>
    <w:rsid w:val="1FB338A6"/>
    <w:rsid w:val="1FDC6E9A"/>
    <w:rsid w:val="1FEF088E"/>
    <w:rsid w:val="204E11F2"/>
    <w:rsid w:val="21CE2472"/>
    <w:rsid w:val="220228DA"/>
    <w:rsid w:val="221B6021"/>
    <w:rsid w:val="2309753B"/>
    <w:rsid w:val="23550668"/>
    <w:rsid w:val="23FC3D5D"/>
    <w:rsid w:val="244B0966"/>
    <w:rsid w:val="2460595D"/>
    <w:rsid w:val="247F48B6"/>
    <w:rsid w:val="27826B95"/>
    <w:rsid w:val="28421514"/>
    <w:rsid w:val="288527C5"/>
    <w:rsid w:val="293B7E73"/>
    <w:rsid w:val="2A2060AC"/>
    <w:rsid w:val="2A756869"/>
    <w:rsid w:val="2AF73CD1"/>
    <w:rsid w:val="2B817641"/>
    <w:rsid w:val="2C7141D7"/>
    <w:rsid w:val="2CC17B44"/>
    <w:rsid w:val="2E3162D2"/>
    <w:rsid w:val="2E5164E5"/>
    <w:rsid w:val="2ECD75AD"/>
    <w:rsid w:val="2ED263E6"/>
    <w:rsid w:val="2FA37329"/>
    <w:rsid w:val="2FFE1D4D"/>
    <w:rsid w:val="304D3796"/>
    <w:rsid w:val="31204CE0"/>
    <w:rsid w:val="314569B7"/>
    <w:rsid w:val="326A1FA2"/>
    <w:rsid w:val="32FF2AE1"/>
    <w:rsid w:val="3376731D"/>
    <w:rsid w:val="35D56F42"/>
    <w:rsid w:val="36E34211"/>
    <w:rsid w:val="36EE0023"/>
    <w:rsid w:val="373647C1"/>
    <w:rsid w:val="378E2D18"/>
    <w:rsid w:val="38E8061B"/>
    <w:rsid w:val="397274DC"/>
    <w:rsid w:val="3C3B61D7"/>
    <w:rsid w:val="3DE767FC"/>
    <w:rsid w:val="3FA10BF6"/>
    <w:rsid w:val="3FAF6B71"/>
    <w:rsid w:val="40426D0F"/>
    <w:rsid w:val="41072053"/>
    <w:rsid w:val="41196DD5"/>
    <w:rsid w:val="41693969"/>
    <w:rsid w:val="42023826"/>
    <w:rsid w:val="44537DCB"/>
    <w:rsid w:val="446C0C32"/>
    <w:rsid w:val="44A053D1"/>
    <w:rsid w:val="44BE34B5"/>
    <w:rsid w:val="45427BA8"/>
    <w:rsid w:val="45AE5E55"/>
    <w:rsid w:val="45C23314"/>
    <w:rsid w:val="45CF3135"/>
    <w:rsid w:val="45D8431F"/>
    <w:rsid w:val="46DD5706"/>
    <w:rsid w:val="48136DD6"/>
    <w:rsid w:val="481E7D04"/>
    <w:rsid w:val="48740478"/>
    <w:rsid w:val="48823E72"/>
    <w:rsid w:val="488D385A"/>
    <w:rsid w:val="4A3573F6"/>
    <w:rsid w:val="4ADB4573"/>
    <w:rsid w:val="4B8C53C7"/>
    <w:rsid w:val="4B9C56A1"/>
    <w:rsid w:val="4C1770E8"/>
    <w:rsid w:val="4DE85438"/>
    <w:rsid w:val="4DF50072"/>
    <w:rsid w:val="4E6B245A"/>
    <w:rsid w:val="4EC661BD"/>
    <w:rsid w:val="4EEA3BBA"/>
    <w:rsid w:val="50874054"/>
    <w:rsid w:val="51321A00"/>
    <w:rsid w:val="52BF733E"/>
    <w:rsid w:val="53EE68C7"/>
    <w:rsid w:val="54460B38"/>
    <w:rsid w:val="544D0319"/>
    <w:rsid w:val="54FB2BAF"/>
    <w:rsid w:val="550E52A4"/>
    <w:rsid w:val="55225442"/>
    <w:rsid w:val="574648D1"/>
    <w:rsid w:val="57C32B21"/>
    <w:rsid w:val="57ED65CA"/>
    <w:rsid w:val="58637AD3"/>
    <w:rsid w:val="59386E7E"/>
    <w:rsid w:val="59642CB9"/>
    <w:rsid w:val="59F11DE2"/>
    <w:rsid w:val="5A955FE8"/>
    <w:rsid w:val="5B05690F"/>
    <w:rsid w:val="5B435BAB"/>
    <w:rsid w:val="5B713927"/>
    <w:rsid w:val="5D92055D"/>
    <w:rsid w:val="5E364022"/>
    <w:rsid w:val="5E5A1194"/>
    <w:rsid w:val="5FA4652B"/>
    <w:rsid w:val="6134229B"/>
    <w:rsid w:val="62FD2BB1"/>
    <w:rsid w:val="63295FC6"/>
    <w:rsid w:val="63C56EA9"/>
    <w:rsid w:val="63F0616F"/>
    <w:rsid w:val="648F1CFA"/>
    <w:rsid w:val="64F171D8"/>
    <w:rsid w:val="650E0BCC"/>
    <w:rsid w:val="666C453F"/>
    <w:rsid w:val="668B64F1"/>
    <w:rsid w:val="66931DAF"/>
    <w:rsid w:val="679F44F4"/>
    <w:rsid w:val="6874108D"/>
    <w:rsid w:val="68CE2F38"/>
    <w:rsid w:val="68E86709"/>
    <w:rsid w:val="68FE11FC"/>
    <w:rsid w:val="6A1725CC"/>
    <w:rsid w:val="6A476FAC"/>
    <w:rsid w:val="6A837C0B"/>
    <w:rsid w:val="6A9038F6"/>
    <w:rsid w:val="6AD97AC9"/>
    <w:rsid w:val="6B0707F5"/>
    <w:rsid w:val="6D1D05A5"/>
    <w:rsid w:val="6DF92A5E"/>
    <w:rsid w:val="6E393E79"/>
    <w:rsid w:val="6E6C595A"/>
    <w:rsid w:val="6EF5290D"/>
    <w:rsid w:val="6F085877"/>
    <w:rsid w:val="6F795D8A"/>
    <w:rsid w:val="6F8B6923"/>
    <w:rsid w:val="6F996F27"/>
    <w:rsid w:val="6FD740FA"/>
    <w:rsid w:val="6FF3373E"/>
    <w:rsid w:val="707C0B6F"/>
    <w:rsid w:val="71A32F67"/>
    <w:rsid w:val="725773BA"/>
    <w:rsid w:val="73CF5620"/>
    <w:rsid w:val="75372458"/>
    <w:rsid w:val="75950E77"/>
    <w:rsid w:val="77C8506F"/>
    <w:rsid w:val="7902666E"/>
    <w:rsid w:val="7A084302"/>
    <w:rsid w:val="7AB86F86"/>
    <w:rsid w:val="7AE166F9"/>
    <w:rsid w:val="7B116024"/>
    <w:rsid w:val="7BD47041"/>
    <w:rsid w:val="7D402A52"/>
    <w:rsid w:val="7E5338B2"/>
    <w:rsid w:val="7EA0556E"/>
    <w:rsid w:val="7EF30A08"/>
    <w:rsid w:val="7FAE58CD"/>
    <w:rsid w:val="7FC37C54"/>
    <w:rsid w:val="9BDB33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2251</Words>
  <Characters>2358</Characters>
  <Lines>0</Lines>
  <Paragraphs>0</Paragraphs>
  <TotalTime>58</TotalTime>
  <ScaleCrop>false</ScaleCrop>
  <LinksUpToDate>false</LinksUpToDate>
  <CharactersWithSpaces>2399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2023-01-12T14:47:00Z</dcterms:created>
  <dc:creator>Administrator</dc:creator>
  <cp:lastModifiedBy>Administrator</cp:lastModifiedBy>
  <cp:lastPrinted>2023-01-13T15:04:00Z</cp:lastPrinted>
  <dcterms:modified xsi:type="dcterms:W3CDTF">2023-01-31T02:20:56Z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768239DC21924CB590E09F64A31CC324</vt:lpwstr>
  </property>
  <property fmtid="{D5CDD505-2E9C-101B-9397-08002B2CF9AE}" pid="4" name="woTemplateTypoMode" linkTarget="0">
    <vt:lpwstr>web</vt:lpwstr>
  </property>
  <property fmtid="{D5CDD505-2E9C-101B-9397-08002B2CF9AE}" pid="5" name="woTemplate" linkTarget="0">
    <vt:i4>1</vt:i4>
  </property>
</Properties>
</file>