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楷体_GB2312" w:eastAsia="楷体_GB2312" w:cs="楷体_GB2312"/>
          <w:b/>
          <w:bCs/>
          <w:sz w:val="44"/>
          <w:szCs w:val="44"/>
        </w:rPr>
      </w:pPr>
      <w:r>
        <w:rPr>
          <w:rFonts w:hint="eastAsia" w:ascii="方正小标宋简体" w:hAnsi="方正小标宋简体" w:eastAsia="方正小标宋简体" w:cs="方正小标宋简体"/>
          <w:b/>
          <w:bCs/>
          <w:sz w:val="44"/>
          <w:szCs w:val="44"/>
        </w:rPr>
        <w:t>高安市伍桥镇202</w:t>
      </w:r>
      <w:r>
        <w:rPr>
          <w:rFonts w:hint="eastAsia" w:ascii="方正小标宋简体" w:hAnsi="方正小标宋简体" w:eastAsia="方正小标宋简体" w:cs="方正小标宋简体"/>
          <w:b/>
          <w:bCs/>
          <w:sz w:val="44"/>
          <w:szCs w:val="44"/>
          <w:lang w:val="en-US" w:eastAsia="zh-CN"/>
        </w:rPr>
        <w:t>3</w:t>
      </w:r>
      <w:r>
        <w:rPr>
          <w:rFonts w:hint="eastAsia" w:ascii="方正小标宋简体" w:hAnsi="方正小标宋简体" w:eastAsia="方正小标宋简体" w:cs="方正小标宋简体"/>
          <w:b/>
          <w:bCs/>
          <w:sz w:val="44"/>
          <w:szCs w:val="44"/>
        </w:rPr>
        <w:t>年政府信息公开工作年度报告</w:t>
      </w:r>
    </w:p>
    <w:p>
      <w:pPr>
        <w:jc w:val="center"/>
        <w:rPr>
          <w:rFonts w:hint="eastAsia" w:ascii="楷体_GB2312" w:hAnsi="楷体_GB2312" w:eastAsia="楷体_GB2312" w:cs="楷体_GB2312"/>
          <w:b/>
          <w:bCs/>
          <w:sz w:val="44"/>
          <w:szCs w:val="44"/>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伍桥镇结合有关统计数据编制。本年度报告中所列数据的统计期限自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年1月1日起至202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高安市人民政府网站（http://www.gaoan.gov.cn/）下载。如对本报告有任何疑问，请与伍桥镇党政办公室联系（地址：伍桥镇前进路1号，电话：0795-5752102，邮编：3308</w:t>
      </w:r>
      <w:r>
        <w:rPr>
          <w:rFonts w:hint="default"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一、总体情况</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年，伍桥镇深入学习贯彻习近平新时代中国特色社会主义思想及党的二十大精神，严格落实党中央、国务院、</w:t>
      </w:r>
      <w:bookmarkStart w:id="0" w:name="_GoBack"/>
      <w:bookmarkEnd w:id="0"/>
      <w:r>
        <w:rPr>
          <w:rFonts w:hint="default" w:ascii="Times New Roman" w:hAnsi="Times New Roman" w:eastAsia="仿宋_GB2312" w:cs="Times New Roman"/>
          <w:sz w:val="32"/>
          <w:szCs w:val="32"/>
        </w:rPr>
        <w:t>省委省政府有关文件的精神和要求，紧紧围绕市委、市政府工作精神，抓住中心工作及社会群众关注关切问题，着力提升信息公开质量，坚持以公开为常态，不公开为例外，进一步推动信息公开透明，增强公开工作实效，主要开展以下工作：</w:t>
      </w:r>
    </w:p>
    <w:p>
      <w:pPr>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（一）主动公开</w:t>
      </w:r>
    </w:p>
    <w:p>
      <w:pPr>
        <w:ind w:firstLine="640" w:firstLineChars="200"/>
        <w:rPr>
          <w:rFonts w:hint="default" w:ascii="Times New Roman" w:hAnsi="Times New Roman" w:eastAsia="仿宋_GB2312" w:cs="Times New Roman"/>
          <w:color w:val="E54C5E" w:themeColor="accent6"/>
          <w:sz w:val="32"/>
          <w:szCs w:val="32"/>
          <w:highlight w:val="none"/>
          <w14:textFill>
            <w14:solidFill>
              <w14:schemeClr w14:val="accent6"/>
            </w14:solidFill>
          </w14:textFill>
        </w:rPr>
      </w:pP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年，伍桥镇共发布政务公开信息</w:t>
      </w:r>
      <w:r>
        <w:rPr>
          <w:rFonts w:hint="default" w:ascii="Times New Roman" w:hAnsi="Times New Roman" w:eastAsia="仿宋_GB2312" w:cs="Times New Roman"/>
          <w:color w:val="auto"/>
          <w:sz w:val="32"/>
          <w:szCs w:val="32"/>
          <w:highlight w:val="none"/>
          <w:lang w:val="en-US" w:eastAsia="zh-CN"/>
        </w:rPr>
        <w:t>43</w:t>
      </w:r>
      <w:r>
        <w:rPr>
          <w:rFonts w:hint="default" w:ascii="Times New Roman" w:hAnsi="Times New Roman" w:eastAsia="仿宋_GB2312" w:cs="Times New Roman"/>
          <w:color w:val="auto"/>
          <w:sz w:val="32"/>
          <w:szCs w:val="32"/>
          <w:highlight w:val="none"/>
        </w:rPr>
        <w:t>条，其中政务信息2</w:t>
      </w: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条，</w:t>
      </w:r>
      <w:r>
        <w:rPr>
          <w:rFonts w:hint="default" w:ascii="Times New Roman" w:hAnsi="Times New Roman" w:eastAsia="仿宋_GB2312" w:cs="Times New Roman"/>
          <w:color w:val="auto"/>
          <w:sz w:val="32"/>
          <w:szCs w:val="32"/>
          <w:highlight w:val="none"/>
          <w:lang w:eastAsia="zh-CN"/>
        </w:rPr>
        <w:t>政府信息公开</w:t>
      </w:r>
      <w:r>
        <w:rPr>
          <w:rFonts w:hint="default" w:ascii="Times New Roman" w:hAnsi="Times New Roman" w:eastAsia="仿宋_GB2312" w:cs="Times New Roman"/>
          <w:color w:val="auto"/>
          <w:sz w:val="32"/>
          <w:szCs w:val="32"/>
          <w:highlight w:val="none"/>
          <w:lang w:val="en-US" w:eastAsia="zh-CN"/>
        </w:rPr>
        <w:t>1条，</w:t>
      </w:r>
      <w:r>
        <w:rPr>
          <w:rFonts w:hint="default" w:ascii="Times New Roman" w:hAnsi="Times New Roman" w:eastAsia="仿宋_GB2312" w:cs="Times New Roman"/>
          <w:color w:val="auto"/>
          <w:sz w:val="32"/>
          <w:szCs w:val="32"/>
          <w:highlight w:val="none"/>
        </w:rPr>
        <w:t>主要领导信息2条，机构职能1条，人事信息</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条，财政预决算7条，六稳六保专项工作</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条，信息公开年度报告</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条。</w:t>
      </w:r>
    </w:p>
    <w:p>
      <w:pPr>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（二）依申请公开</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按照政府信息依申请公开工作要求，202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年，我单位共接到依申请公开办件0件。</w:t>
      </w:r>
    </w:p>
    <w:p>
      <w:pPr>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（三）政府信息管理</w:t>
      </w:r>
    </w:p>
    <w:p>
      <w:pP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为进一步规范政府网站登载发布信息工作，加强政府网站信息采集、发布和管理，更好体现政府网站的时效性与权威性，以“谁主管，谁审批，谁负责”为审核原则，</w:t>
      </w:r>
      <w:r>
        <w:rPr>
          <w:rFonts w:hint="eastAsia" w:ascii="Times New Roman" w:hAnsi="Times New Roman" w:eastAsia="仿宋_GB2312" w:cs="Times New Roman"/>
          <w:sz w:val="32"/>
          <w:szCs w:val="32"/>
          <w:lang w:eastAsia="zh-CN"/>
        </w:rPr>
        <w:t>三审三校，</w:t>
      </w:r>
      <w:r>
        <w:rPr>
          <w:rFonts w:hint="default" w:ascii="Times New Roman" w:hAnsi="Times New Roman" w:eastAsia="仿宋_GB2312" w:cs="Times New Roman"/>
          <w:sz w:val="32"/>
          <w:szCs w:val="32"/>
        </w:rPr>
        <w:t>明确一名分管领导作为信息审核人，所有发布的信息必须经审核人同意后再进行发布。</w:t>
      </w:r>
    </w:p>
    <w:p>
      <w:pPr>
        <w:ind w:firstLine="643" w:firstLineChars="200"/>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（四）政府信息公开平台建设</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今年以来，我镇</w:t>
      </w:r>
      <w:r>
        <w:rPr>
          <w:rFonts w:hint="default" w:ascii="Times New Roman" w:hAnsi="Times New Roman" w:eastAsia="仿宋_GB2312" w:cs="Times New Roman"/>
          <w:sz w:val="32"/>
          <w:szCs w:val="32"/>
          <w:lang w:eastAsia="zh-CN"/>
        </w:rPr>
        <w:t>不断</w:t>
      </w:r>
      <w:r>
        <w:rPr>
          <w:rFonts w:hint="default" w:ascii="Times New Roman" w:hAnsi="Times New Roman" w:eastAsia="仿宋_GB2312" w:cs="Times New Roman"/>
          <w:sz w:val="32"/>
          <w:szCs w:val="32"/>
        </w:rPr>
        <w:t>强化政务公开平台建设，</w:t>
      </w:r>
      <w:r>
        <w:rPr>
          <w:rFonts w:hint="default" w:ascii="Times New Roman" w:hAnsi="Times New Roman" w:eastAsia="仿宋_GB2312" w:cs="Times New Roman"/>
          <w:sz w:val="32"/>
          <w:szCs w:val="32"/>
          <w:lang w:eastAsia="zh-CN"/>
        </w:rPr>
        <w:t>扎实</w:t>
      </w:r>
      <w:r>
        <w:rPr>
          <w:rFonts w:hint="default" w:ascii="Times New Roman" w:hAnsi="Times New Roman" w:eastAsia="仿宋_GB2312" w:cs="Times New Roman"/>
          <w:sz w:val="32"/>
          <w:szCs w:val="32"/>
        </w:rPr>
        <w:t>做好政策解读、舆情回应和公开平台建设，以公开促落实、强监督、稳预期、优服务，进一步提升政府治理能力。推进政府网站优质规范发展。利用信息公示栏、微信公众号等方式让</w:t>
      </w:r>
      <w:r>
        <w:rPr>
          <w:rFonts w:hint="default" w:ascii="Times New Roman" w:hAnsi="Times New Roman" w:eastAsia="仿宋_GB2312" w:cs="Times New Roman"/>
          <w:sz w:val="32"/>
          <w:szCs w:val="32"/>
          <w:lang w:eastAsia="zh-CN"/>
        </w:rPr>
        <w:t>本镇</w:t>
      </w:r>
      <w:r>
        <w:rPr>
          <w:rFonts w:hint="default" w:ascii="Times New Roman" w:hAnsi="Times New Roman" w:eastAsia="仿宋_GB2312" w:cs="Times New Roman"/>
          <w:sz w:val="32"/>
          <w:szCs w:val="32"/>
        </w:rPr>
        <w:t>居民能够随时了解我镇的工作动态</w:t>
      </w:r>
      <w:r>
        <w:rPr>
          <w:rFonts w:hint="default" w:ascii="Times New Roman" w:hAnsi="Times New Roman" w:eastAsia="仿宋_GB2312" w:cs="Times New Roman"/>
          <w:sz w:val="32"/>
          <w:szCs w:val="32"/>
          <w:lang w:eastAsia="zh-CN"/>
        </w:rPr>
        <w:t>。</w:t>
      </w:r>
    </w:p>
    <w:p>
      <w:pPr>
        <w:ind w:firstLine="643" w:firstLineChars="200"/>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（五）监督保障</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推动政务公开工作深入开展，促进全镇政务公开工作整体推进，严格贯彻落实《条例》规定的“工作考核、社会评议、责任追究”等要求，建立健全政府信息公开工作考核评议制度，强化问责制度，定期开展社会调查评议，了解社情民意，不断改进信息公开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把督查作为常态化考核。</w:t>
      </w:r>
    </w:p>
    <w:p>
      <w:pPr>
        <w:rPr>
          <w:rFonts w:hint="eastAsia" w:ascii="黑体" w:hAnsi="黑体" w:eastAsia="黑体" w:cs="黑体"/>
          <w:sz w:val="32"/>
          <w:szCs w:val="32"/>
        </w:rPr>
      </w:pPr>
      <w:r>
        <w:rPr>
          <w:rFonts w:hint="eastAsia" w:ascii="黑体" w:hAnsi="黑体" w:eastAsia="黑体" w:cs="黑体"/>
          <w:sz w:val="32"/>
          <w:szCs w:val="32"/>
          <w:lang w:val="en-US" w:eastAsia="zh-CN"/>
        </w:rPr>
        <w:t>二、主动公开政府信息情况</w:t>
      </w:r>
    </w:p>
    <w:tbl>
      <w:tblPr>
        <w:tblStyle w:val="4"/>
        <w:tblW w:w="9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55"/>
        <w:gridCol w:w="2455"/>
        <w:gridCol w:w="2455"/>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9820" w:type="dxa"/>
            <w:gridSpan w:val="4"/>
            <w:tcBorders>
              <w:top w:val="single" w:color="auto" w:sz="8" w:space="0"/>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信息内容</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本年制发件数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本年废止件数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规   章</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行政规范性文件</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信息内容</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行政许可</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信息内容</w:t>
            </w:r>
          </w:p>
        </w:tc>
        <w:tc>
          <w:tcPr>
            <w:tcW w:w="736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行政处罚</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行政强制</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信息内容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行政事业性收费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r>
    </w:tbl>
    <w:p>
      <w:pPr>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0"/>
        <w:gridCol w:w="997"/>
        <w:gridCol w:w="4823"/>
        <w:gridCol w:w="439"/>
        <w:gridCol w:w="473"/>
        <w:gridCol w:w="371"/>
        <w:gridCol w:w="506"/>
        <w:gridCol w:w="438"/>
        <w:gridCol w:w="450"/>
        <w:gridCol w:w="4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（本列数据的勾稽关系为：第一项加第二项之和，等于第三项加第四项之和）</w:t>
            </w:r>
          </w:p>
        </w:tc>
        <w:tc>
          <w:tcPr>
            <w:tcW w:w="314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439"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自</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然</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人</w:t>
            </w:r>
          </w:p>
        </w:tc>
        <w:tc>
          <w:tcPr>
            <w:tcW w:w="2238"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法人或其他组织</w:t>
            </w:r>
          </w:p>
        </w:tc>
        <w:tc>
          <w:tcPr>
            <w:tcW w:w="471"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439"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商业</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企业</w:t>
            </w:r>
          </w:p>
        </w:tc>
        <w:tc>
          <w:tcPr>
            <w:tcW w:w="371"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科研</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机构</w:t>
            </w:r>
          </w:p>
        </w:tc>
        <w:tc>
          <w:tcPr>
            <w:tcW w:w="50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社会公益组织</w:t>
            </w:r>
          </w:p>
        </w:tc>
        <w:tc>
          <w:tcPr>
            <w:tcW w:w="43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法律服务机构</w:t>
            </w:r>
          </w:p>
        </w:tc>
        <w:tc>
          <w:tcPr>
            <w:tcW w:w="45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其他</w:t>
            </w:r>
          </w:p>
        </w:tc>
        <w:tc>
          <w:tcPr>
            <w:tcW w:w="471"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一、本年新收政府信息公开申请数量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371"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c>
          <w:tcPr>
            <w:tcW w:w="50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二、上年结转政府信息公开申请数量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371"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c>
          <w:tcPr>
            <w:tcW w:w="50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三、本年度办理结果</w:t>
            </w: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（一）予以公开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371"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c>
          <w:tcPr>
            <w:tcW w:w="50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（二）部分公开（区分处理的，只计这一情形，不计其他情形）</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371"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c>
          <w:tcPr>
            <w:tcW w:w="50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（三）不予公开</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1.属于国家秘密</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37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c>
          <w:tcPr>
            <w:tcW w:w="50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2.其他法律行政法规禁止公开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37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c>
          <w:tcPr>
            <w:tcW w:w="50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3.危及“三安全一稳定”</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37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c>
          <w:tcPr>
            <w:tcW w:w="50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4.保护第三方合法权益</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0 </w:t>
            </w:r>
          </w:p>
        </w:tc>
        <w:tc>
          <w:tcPr>
            <w:tcW w:w="37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c>
          <w:tcPr>
            <w:tcW w:w="50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0 </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0 </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5.属于三类内部事务信息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37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c>
          <w:tcPr>
            <w:tcW w:w="50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6.属于四类过程性信息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37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c>
          <w:tcPr>
            <w:tcW w:w="50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7.属于行政执法案卷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37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c>
          <w:tcPr>
            <w:tcW w:w="50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8.属于行政查询事项</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37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c>
          <w:tcPr>
            <w:tcW w:w="50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（四）无法提供</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1.本机关不掌握相关政府信息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371"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c>
          <w:tcPr>
            <w:tcW w:w="50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8"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2.没有现成信息需要另行制作</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371"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c>
          <w:tcPr>
            <w:tcW w:w="50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3.补正后申请内容仍不明确</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371"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c>
          <w:tcPr>
            <w:tcW w:w="50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（五）不予处理</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1.信访举报投诉类申请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371"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c>
          <w:tcPr>
            <w:tcW w:w="506"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37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c>
          <w:tcPr>
            <w:tcW w:w="50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3.要求提供公开出版物</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37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c>
          <w:tcPr>
            <w:tcW w:w="50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4.无正当理由大量反复申请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37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c>
          <w:tcPr>
            <w:tcW w:w="50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4823" w:type="dxa"/>
            <w:tcBorders>
              <w:top w:val="nil"/>
              <w:left w:val="nil"/>
              <w:bottom w:val="single" w:color="auto" w:sz="4"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5.要求行政机关确认或重新出具已获取信息</w:t>
            </w:r>
          </w:p>
        </w:tc>
        <w:tc>
          <w:tcPr>
            <w:tcW w:w="439" w:type="dxa"/>
            <w:tcBorders>
              <w:top w:val="nil"/>
              <w:left w:val="nil"/>
              <w:bottom w:val="single" w:color="auto" w:sz="4"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0 </w:t>
            </w:r>
          </w:p>
        </w:tc>
        <w:tc>
          <w:tcPr>
            <w:tcW w:w="473" w:type="dxa"/>
            <w:tcBorders>
              <w:top w:val="nil"/>
              <w:left w:val="nil"/>
              <w:bottom w:val="single" w:color="auto" w:sz="4"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0 </w:t>
            </w:r>
          </w:p>
        </w:tc>
        <w:tc>
          <w:tcPr>
            <w:tcW w:w="371" w:type="dxa"/>
            <w:tcBorders>
              <w:top w:val="nil"/>
              <w:left w:val="nil"/>
              <w:bottom w:val="single" w:color="auto" w:sz="4"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c>
          <w:tcPr>
            <w:tcW w:w="506" w:type="dxa"/>
            <w:tcBorders>
              <w:top w:val="nil"/>
              <w:left w:val="nil"/>
              <w:bottom w:val="single" w:color="auto" w:sz="4"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0 </w:t>
            </w:r>
          </w:p>
        </w:tc>
        <w:tc>
          <w:tcPr>
            <w:tcW w:w="438" w:type="dxa"/>
            <w:tcBorders>
              <w:top w:val="nil"/>
              <w:left w:val="nil"/>
              <w:bottom w:val="single" w:color="auto" w:sz="4"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0 </w:t>
            </w:r>
          </w:p>
        </w:tc>
        <w:tc>
          <w:tcPr>
            <w:tcW w:w="450" w:type="dxa"/>
            <w:tcBorders>
              <w:top w:val="nil"/>
              <w:left w:val="nil"/>
              <w:bottom w:val="single" w:color="auto" w:sz="4"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0 </w:t>
            </w:r>
          </w:p>
        </w:tc>
        <w:tc>
          <w:tcPr>
            <w:tcW w:w="471" w:type="dxa"/>
            <w:tcBorders>
              <w:top w:val="nil"/>
              <w:left w:val="nil"/>
              <w:bottom w:val="single" w:color="auto" w:sz="4" w:space="0"/>
              <w:right w:val="single" w:color="auto" w:sz="8"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66"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997" w:type="dxa"/>
            <w:vMerge w:val="restart"/>
            <w:tcBorders>
              <w:top w:val="nil"/>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（六）其他处理</w:t>
            </w:r>
          </w:p>
        </w:tc>
        <w:tc>
          <w:tcPr>
            <w:tcW w:w="4823"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1.申请人无正当理由逾期不补正、行政机关不再处理其政府信息公开申请</w:t>
            </w:r>
          </w:p>
        </w:tc>
        <w:tc>
          <w:tcPr>
            <w:tcW w:w="439" w:type="dxa"/>
            <w:tcBorders>
              <w:top w:val="single" w:color="auto" w:sz="4" w:space="0"/>
              <w:left w:val="nil"/>
              <w:bottom w:val="single" w:color="auto" w:sz="4" w:space="0"/>
              <w:right w:val="single" w:color="auto" w:sz="4"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3" w:type="dxa"/>
            <w:tcBorders>
              <w:top w:val="single" w:color="auto" w:sz="4" w:space="0"/>
              <w:left w:val="nil"/>
              <w:bottom w:val="single" w:color="auto" w:sz="4" w:space="0"/>
              <w:right w:val="single" w:color="auto" w:sz="4"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371" w:type="dxa"/>
            <w:tcBorders>
              <w:top w:val="single" w:color="auto" w:sz="4" w:space="0"/>
              <w:left w:val="nil"/>
              <w:bottom w:val="single" w:color="auto" w:sz="4" w:space="0"/>
              <w:right w:val="single" w:color="auto" w:sz="4"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c>
          <w:tcPr>
            <w:tcW w:w="506" w:type="dxa"/>
            <w:tcBorders>
              <w:top w:val="single" w:color="auto" w:sz="4" w:space="0"/>
              <w:left w:val="nil"/>
              <w:bottom w:val="single" w:color="auto" w:sz="4" w:space="0"/>
              <w:right w:val="single" w:color="auto" w:sz="4"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38" w:type="dxa"/>
            <w:tcBorders>
              <w:top w:val="single" w:color="auto" w:sz="4" w:space="0"/>
              <w:left w:val="nil"/>
              <w:bottom w:val="single" w:color="auto" w:sz="4" w:space="0"/>
              <w:right w:val="single" w:color="auto" w:sz="4"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50" w:type="dxa"/>
            <w:tcBorders>
              <w:top w:val="single" w:color="auto" w:sz="4" w:space="0"/>
              <w:left w:val="nil"/>
              <w:bottom w:val="single" w:color="auto" w:sz="4" w:space="0"/>
              <w:right w:val="single" w:color="auto" w:sz="4"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1" w:type="dxa"/>
            <w:tcBorders>
              <w:top w:val="single" w:color="auto" w:sz="4" w:space="0"/>
              <w:left w:val="nil"/>
              <w:bottom w:val="single" w:color="auto" w:sz="4" w:space="0"/>
              <w:right w:val="single" w:color="auto" w:sz="4" w:space="0"/>
            </w:tcBorders>
            <w:shd w:val="clear" w:color="auto" w:fill="auto"/>
            <w:tcMar>
              <w:left w:w="57" w:type="dxa"/>
              <w:right w:w="57" w:type="dxa"/>
            </w:tcMar>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997" w:type="dxa"/>
            <w:vMerge w:val="continue"/>
            <w:tcBorders>
              <w:top w:val="nil"/>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4823"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2.申请人逾期未按收费通知要求缴纳费用、行政机关不再处理其政府信息公开申请</w:t>
            </w:r>
          </w:p>
        </w:tc>
        <w:tc>
          <w:tcPr>
            <w:tcW w:w="439"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3"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371"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c>
          <w:tcPr>
            <w:tcW w:w="50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3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50"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1"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997" w:type="dxa"/>
            <w:vMerge w:val="continue"/>
            <w:tcBorders>
              <w:top w:val="nil"/>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4823"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3.其他</w:t>
            </w:r>
          </w:p>
        </w:tc>
        <w:tc>
          <w:tcPr>
            <w:tcW w:w="439"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3"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371"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c>
          <w:tcPr>
            <w:tcW w:w="50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3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50"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1"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p>
        </w:tc>
        <w:tc>
          <w:tcPr>
            <w:tcW w:w="5820" w:type="dxa"/>
            <w:gridSpan w:val="2"/>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（七）总计</w:t>
            </w:r>
          </w:p>
        </w:tc>
        <w:tc>
          <w:tcPr>
            <w:tcW w:w="439"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3"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371"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c>
          <w:tcPr>
            <w:tcW w:w="50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3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50"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1"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四、结转下年度继续办理</w:t>
            </w:r>
          </w:p>
        </w:tc>
        <w:tc>
          <w:tcPr>
            <w:tcW w:w="439"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3"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371"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c>
          <w:tcPr>
            <w:tcW w:w="50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3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50"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471"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r>
    </w:tbl>
    <w:p>
      <w:pPr>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四、政府信息公开行政复议、行政诉讼情况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结果维持</w:t>
            </w:r>
          </w:p>
        </w:tc>
        <w:tc>
          <w:tcPr>
            <w:tcW w:w="64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结果</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纠正</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其他</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结果</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尚未</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审结</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总计</w:t>
            </w:r>
          </w:p>
        </w:tc>
        <w:tc>
          <w:tcPr>
            <w:tcW w:w="3213"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未经复议直接起诉</w:t>
            </w:r>
          </w:p>
        </w:tc>
        <w:tc>
          <w:tcPr>
            <w:tcW w:w="321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64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结果</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维持</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结果</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纠正</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其他</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结果</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尚未</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审结</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总计</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结果</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维持</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结果</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纠正</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其他</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结果</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尚未</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审结</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0 </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0 </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0 </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0 </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0 </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0 </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0 </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0 </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0 </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w:t>
            </w:r>
          </w:p>
        </w:tc>
      </w:tr>
    </w:tbl>
    <w:p>
      <w:pPr>
        <w:rPr>
          <w:rFonts w:hint="default" w:ascii="Times New Roman" w:hAnsi="Times New Roman" w:eastAsia="仿宋_GB2312" w:cs="Times New Roman"/>
          <w:sz w:val="32"/>
          <w:szCs w:val="32"/>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五、存在的主要问题及改进情况</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lang w:val="en-US" w:eastAsia="zh-CN"/>
        </w:rPr>
        <w:t>主要问题：</w:t>
      </w:r>
      <w:r>
        <w:rPr>
          <w:rFonts w:hint="default" w:ascii="Times New Roman" w:hAnsi="Times New Roman" w:eastAsia="仿宋_GB2312" w:cs="Times New Roman"/>
          <w:color w:val="auto"/>
          <w:sz w:val="32"/>
          <w:szCs w:val="32"/>
          <w:lang w:val="en-US" w:eastAsia="zh-CN"/>
        </w:rPr>
        <w:t>1.一是个别干部对政务公开工作重视不够，信息公示较为被动，主动性不够高，导致公开的内容不够丰富，2.办公室信息公开工作人员流动大，负责信息公开平台人员的操作流程熟悉度不够，业务水平有待进一步提高。</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改进情况：1.加强干部对关于政务公开制度的通知有关文件和政策深入学习，不断丰富公开内容。2.定期组织政府信息公开工作人员的业务培训，提高工作人员的系统操作能力。</w:t>
      </w:r>
    </w:p>
    <w:p>
      <w:pPr>
        <w:ind w:firstLine="640" w:firstLineChars="200"/>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六、其他需要报告的事项</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2023年度，本机关无收取信息处理费情况。</w:t>
      </w:r>
    </w:p>
    <w:p>
      <w:pPr>
        <w:rPr>
          <w:rFonts w:hint="default"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0ZTIyMjU2ODZjN2QzMTFjMDAzZWFhNDJkODk0YjAifQ=="/>
  </w:docVars>
  <w:rsids>
    <w:rsidRoot w:val="00000000"/>
    <w:rsid w:val="0B8B40BA"/>
    <w:rsid w:val="11146FBD"/>
    <w:rsid w:val="13192BB3"/>
    <w:rsid w:val="1A663A6D"/>
    <w:rsid w:val="1B5C5B20"/>
    <w:rsid w:val="1EC50B90"/>
    <w:rsid w:val="380406FB"/>
    <w:rsid w:val="3E216A36"/>
    <w:rsid w:val="47EF1E91"/>
    <w:rsid w:val="53220A8C"/>
    <w:rsid w:val="57B8364E"/>
    <w:rsid w:val="5CFF2D93"/>
    <w:rsid w:val="6A703972"/>
    <w:rsid w:val="706A350F"/>
    <w:rsid w:val="70C41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2024-01-05T03:26:00Z</dcterms:created>
  <dc:creator>Administrator</dc:creator>
  <cp:lastModifiedBy>放牧的羔羊</cp:lastModifiedBy>
  <cp:lastPrinted>2024-01-11T02:50:56Z</cp:lastPrinted>
  <dcterms:modified xsi:type="dcterms:W3CDTF">2024-01-11T02:52:39Z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B5F11158F4474436B2AA7BCA998F1D3B_12</vt:lpwstr>
  </property>
</Properties>
</file>