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lang w:val="en-US" w:eastAsia="zh-CN"/>
        </w:rPr>
        <w:t>高安市荷岭镇2022年</w:t>
      </w:r>
      <w:r>
        <w:rPr>
          <w:rFonts w:hint="eastAsia" w:ascii="宋体" w:hAnsi="宋体" w:eastAsia="宋体" w:cs="宋体"/>
          <w:b/>
          <w:bCs/>
          <w:color w:val="000000"/>
          <w:sz w:val="44"/>
          <w:szCs w:val="44"/>
        </w:rPr>
        <w:t>政府信息公开工作</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年度报告</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sz w:val="32"/>
          <w:szCs w:val="32"/>
          <w:lang w:eastAsia="zh-CN"/>
        </w:rPr>
      </w:pPr>
      <w:r>
        <w:rPr>
          <w:rFonts w:hint="eastAsia" w:hAnsi="仿宋_GB2312"/>
          <w:color w:val="000000"/>
          <w:sz w:val="32"/>
          <w:szCs w:val="32"/>
          <w:shd w:val="clear" w:color="auto" w:fill="FFFFFF"/>
          <w:lang w:val="en-US" w:eastAsia="zh-CN"/>
        </w:rPr>
        <w:t>根据</w:t>
      </w:r>
      <w:r>
        <w:rPr>
          <w:rFonts w:hint="eastAsia" w:ascii="Times New Roman" w:hAnsi="仿宋_GB2312" w:eastAsia="仿宋_GB2312"/>
          <w:color w:val="000000"/>
          <w:sz w:val="32"/>
          <w:szCs w:val="32"/>
          <w:shd w:val="clear" w:color="auto" w:fill="FFFFFF"/>
        </w:rPr>
        <w:t>《中华人民共和国政府信息公开条例</w:t>
      </w:r>
      <w:r>
        <w:rPr>
          <w:rFonts w:hint="eastAsia" w:ascii="Times New Roman" w:hAnsi="仿宋_GB2312" w:eastAsia="仿宋_GB2312" w:cs="Times New Roman"/>
          <w:color w:val="000000"/>
          <w:kern w:val="2"/>
          <w:sz w:val="32"/>
          <w:szCs w:val="32"/>
          <w:shd w:val="clear" w:color="auto" w:fill="FFFFFF"/>
          <w:lang w:val="en-US" w:eastAsia="zh-CN" w:bidi="ar-SA"/>
        </w:rPr>
        <w:t>》（国务院令第711号）和《国务院办公厅政府信息与政务公开办公室关于印发中华人民共和国政府信息公开工作年度报告格式的通知</w:t>
      </w:r>
      <w:r>
        <w:rPr>
          <w:rFonts w:hint="eastAsia" w:ascii="Times New Roman" w:hAnsi="仿宋_GB2312" w:eastAsia="仿宋_GB2312"/>
          <w:color w:val="000000"/>
          <w:sz w:val="32"/>
          <w:szCs w:val="32"/>
          <w:shd w:val="clear" w:color="auto" w:fill="FFFFFF"/>
        </w:rPr>
        <w:t>》（国办公开办函〔20</w:t>
      </w:r>
      <w:r>
        <w:rPr>
          <w:rFonts w:hint="eastAsia" w:hAnsi="仿宋_GB2312"/>
          <w:color w:val="000000"/>
          <w:sz w:val="32"/>
          <w:szCs w:val="32"/>
          <w:shd w:val="clear" w:color="auto" w:fill="FFFFFF"/>
          <w:lang w:val="en-US" w:eastAsia="zh-CN"/>
        </w:rPr>
        <w:t>21</w:t>
      </w:r>
      <w:r>
        <w:rPr>
          <w:rFonts w:hint="eastAsia" w:ascii="Times New Roman" w:hAnsi="仿宋_GB2312" w:eastAsia="仿宋_GB2312"/>
          <w:color w:val="000000"/>
          <w:sz w:val="32"/>
          <w:szCs w:val="32"/>
          <w:shd w:val="clear" w:color="auto" w:fill="FFFFFF"/>
        </w:rPr>
        <w:t>〕</w:t>
      </w:r>
      <w:r>
        <w:rPr>
          <w:rFonts w:hint="eastAsia" w:hAnsi="仿宋_GB2312"/>
          <w:color w:val="000000"/>
          <w:sz w:val="32"/>
          <w:szCs w:val="32"/>
          <w:shd w:val="clear" w:color="auto" w:fill="FFFFFF"/>
          <w:lang w:val="en-US" w:eastAsia="zh-CN"/>
        </w:rPr>
        <w:t>30</w:t>
      </w:r>
      <w:r>
        <w:rPr>
          <w:rFonts w:hint="eastAsia" w:ascii="Times New Roman" w:hAnsi="仿宋_GB2312" w:eastAsia="仿宋_GB2312"/>
          <w:color w:val="000000"/>
          <w:sz w:val="32"/>
          <w:szCs w:val="32"/>
          <w:shd w:val="clear" w:color="auto" w:fill="FFFFFF"/>
        </w:rPr>
        <w:t>号）</w:t>
      </w:r>
      <w:r>
        <w:rPr>
          <w:rFonts w:hint="eastAsia" w:hAnsi="仿宋_GB2312"/>
          <w:color w:val="000000"/>
          <w:sz w:val="32"/>
          <w:szCs w:val="32"/>
          <w:shd w:val="clear" w:color="auto" w:fill="FFFFFF"/>
          <w:lang w:val="en-US" w:eastAsia="zh-CN"/>
        </w:rPr>
        <w:t>等文件通知</w:t>
      </w:r>
      <w:r>
        <w:rPr>
          <w:rFonts w:hint="eastAsia" w:ascii="Times New Roman" w:hAnsi="仿宋_GB2312" w:eastAsia="仿宋_GB2312"/>
          <w:color w:val="000000"/>
          <w:sz w:val="32"/>
          <w:szCs w:val="32"/>
          <w:shd w:val="clear" w:color="auto" w:fill="FFFFFF"/>
        </w:rPr>
        <w:t>要求，</w:t>
      </w:r>
      <w:r>
        <w:rPr>
          <w:rFonts w:hint="eastAsia" w:ascii="Times New Roman" w:hAnsi="仿宋_GB2312" w:eastAsia="仿宋_GB2312" w:cs="Times New Roman"/>
          <w:color w:val="000000"/>
          <w:kern w:val="2"/>
          <w:sz w:val="32"/>
          <w:szCs w:val="32"/>
          <w:shd w:val="clear" w:color="auto" w:fill="FFFFFF"/>
          <w:lang w:val="en-US" w:eastAsia="zh-CN" w:bidi="ar-SA"/>
        </w:rPr>
        <w:t>现就做好202</w:t>
      </w:r>
      <w:r>
        <w:rPr>
          <w:rFonts w:hint="eastAsia" w:hAnsi="仿宋_GB2312" w:cs="Times New Roman"/>
          <w:color w:val="000000"/>
          <w:kern w:val="2"/>
          <w:sz w:val="32"/>
          <w:szCs w:val="32"/>
          <w:shd w:val="clear" w:color="auto" w:fill="FFFFFF"/>
          <w:lang w:val="en-US" w:eastAsia="zh-CN" w:bidi="ar-SA"/>
        </w:rPr>
        <w:t>2</w:t>
      </w:r>
      <w:r>
        <w:rPr>
          <w:rFonts w:hint="eastAsia" w:ascii="Times New Roman" w:hAnsi="仿宋_GB2312" w:eastAsia="仿宋_GB2312" w:cs="Times New Roman"/>
          <w:color w:val="000000"/>
          <w:kern w:val="2"/>
          <w:sz w:val="32"/>
          <w:szCs w:val="32"/>
          <w:shd w:val="clear" w:color="auto" w:fill="FFFFFF"/>
          <w:lang w:val="en-US" w:eastAsia="zh-CN" w:bidi="ar-SA"/>
        </w:rPr>
        <w:t>年度政府信息公开工作年度报告编制和发布工作</w:t>
      </w:r>
      <w:r>
        <w:rPr>
          <w:rFonts w:hint="eastAsia" w:hAnsi="仿宋_GB2312" w:cs="Times New Roman"/>
          <w:color w:val="000000"/>
          <w:kern w:val="2"/>
          <w:sz w:val="32"/>
          <w:szCs w:val="32"/>
          <w:shd w:val="clear" w:color="auto" w:fill="FFFFFF"/>
          <w:lang w:val="en-US" w:eastAsia="zh-CN" w:bidi="ar-SA"/>
        </w:rPr>
        <w:t>，</w:t>
      </w:r>
      <w:r>
        <w:rPr>
          <w:rFonts w:hint="eastAsia" w:ascii="仿宋" w:hAnsi="仿宋" w:eastAsia="仿宋" w:cs="仿宋"/>
          <w:color w:val="000000"/>
          <w:sz w:val="32"/>
          <w:szCs w:val="32"/>
        </w:rPr>
        <w:t>本年度报告中所列数据的统计期限自202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年1月1日起至202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荷岭镇人民政府网站下载。如对本报告有任何疑问，请与荷岭镇党政办联系（地址：高安市荷岭镇三马大道，电话：0795-5412108，邮编：330800）</w:t>
      </w:r>
      <w:r>
        <w:rPr>
          <w:rFonts w:hint="eastAsia" w:ascii="仿宋" w:hAnsi="仿宋" w:eastAsia="仿宋" w:cs="仿宋"/>
          <w:color w:val="000000"/>
          <w:sz w:val="32"/>
          <w:szCs w:val="32"/>
          <w:lang w:eastAsia="zh-CN"/>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）主动公开</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年，我镇重新梳理了主动公开服务事项，公开信息总数为</w:t>
      </w:r>
      <w:r>
        <w:rPr>
          <w:rFonts w:hint="eastAsia" w:ascii="仿宋" w:hAnsi="仿宋" w:eastAsia="仿宋" w:cs="仿宋"/>
          <w:sz w:val="32"/>
          <w:szCs w:val="32"/>
          <w:lang w:val="en-US" w:eastAsia="zh-CN"/>
        </w:rPr>
        <w:t xml:space="preserve"> 70 </w:t>
      </w:r>
      <w:r>
        <w:rPr>
          <w:rFonts w:hint="eastAsia" w:ascii="仿宋" w:hAnsi="仿宋" w:eastAsia="仿宋" w:cs="仿宋"/>
          <w:sz w:val="32"/>
          <w:szCs w:val="32"/>
        </w:rPr>
        <w:t>条。主要是机构简介、机构职能、发展规划、政务动态、公示公告、财政预决算、年度报告等内容。可通过</w:t>
      </w:r>
      <w:bookmarkStart w:id="0" w:name="_GoBack"/>
      <w:bookmarkEnd w:id="0"/>
      <w:r>
        <w:rPr>
          <w:rFonts w:hint="eastAsia" w:ascii="仿宋" w:hAnsi="仿宋" w:eastAsia="仿宋" w:cs="仿宋"/>
          <w:sz w:val="32"/>
          <w:szCs w:val="32"/>
        </w:rPr>
        <w:t>高安市政府门户网站的“政府信息公开”栏目查询我单位主动公开的202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年政府信息。</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依申请公开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2022年度我镇未收到申请公开文件。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三</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）政府信息管理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使我镇信息公开工作不流于形式，真正发挥出政府信息公开的重要作用，我镇着眼于建立信息公开长效机制，使信息公开成为一种自觉的意识和行为。一是加强和完善领导机制。明确专门人员负责政务公开工作，落实信息公开的各项要求，做好牵头协调工作。二是建立健全各项制度。我镇通过建立健全信息公开责任和信息发布审查制度，本着“谁报送、谁负责，谁承诺、谁办理”的原则，认真做好信息公开审核，促进信息公开工作走上制度化、规范化的轨道。</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四</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平台建设</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2022年，根据政务公开工作要点，结合工作的实际情况，我镇不断拓展信息公开渠道，健全完善相关制度，明确了公开内容、公开方式、公开时限、责任主体等，进一步明确了各部门单位职责、工作任务。逐步建立健全了政府信息公开、依申请公开相关制度规定，做到有章可循、有规可依，确保全年政务公开工作的落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（五）监督保障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rPr>
      </w:pPr>
      <w:r>
        <w:rPr>
          <w:rFonts w:hint="eastAsia" w:ascii="仿宋" w:hAnsi="仿宋" w:eastAsia="仿宋" w:cs="仿宋"/>
        </w:rPr>
        <w:t>1、强化制度保障。严格落实政府信息公开保密审查制度，确保政府信息公开真实、及时、有效、安全。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rPr>
      </w:pPr>
      <w:r>
        <w:rPr>
          <w:rFonts w:hint="eastAsia" w:ascii="仿宋" w:hAnsi="仿宋" w:eastAsia="仿宋" w:cs="仿宋"/>
        </w:rPr>
        <w:t>2、反馈问题整改。市政府对我镇信息公开测评中发现的问题，做到及时、高质量整改。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6"/>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pStyle w:val="2"/>
        <w:rPr>
          <w:rFonts w:hint="eastAsia"/>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Chars="200" w:right="0" w:rightChars="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五、存在的主要问题及改进情况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（一）存在主要问题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荷岭镇政务</w:t>
      </w:r>
      <w:r>
        <w:rPr>
          <w:rFonts w:hint="eastAsia" w:ascii="仿宋" w:hAnsi="仿宋" w:eastAsia="仿宋" w:cs="仿宋"/>
          <w:sz w:val="32"/>
          <w:szCs w:val="32"/>
        </w:rPr>
        <w:t>公开工作在市政府办的有效指导和帮助下虽取得了一定的成绩，但离高标准还有一定的差距，具体表现在</w:t>
      </w:r>
      <w:r>
        <w:rPr>
          <w:rFonts w:hint="eastAsia" w:ascii="仿宋" w:hAnsi="仿宋" w:eastAsia="仿宋" w:cs="仿宋"/>
          <w:color w:val="000000"/>
          <w:kern w:val="0"/>
          <w:sz w:val="32"/>
          <w:szCs w:val="32"/>
          <w:lang w:val="en-US" w:eastAsia="zh-CN" w:bidi="ar"/>
        </w:rPr>
        <w:t>：一是个别栏目中的文件类不对应；二</w:t>
      </w:r>
      <w:r>
        <w:rPr>
          <w:rFonts w:hint="eastAsia" w:ascii="仿宋" w:hAnsi="仿宋" w:eastAsia="仿宋" w:cs="仿宋"/>
          <w:sz w:val="32"/>
          <w:szCs w:val="32"/>
        </w:rPr>
        <w:t>是政务信息公开的时效性还不够强</w:t>
      </w:r>
      <w:r>
        <w:rPr>
          <w:rFonts w:hint="eastAsia" w:ascii="仿宋" w:hAnsi="仿宋" w:eastAsia="仿宋" w:cs="仿宋"/>
          <w:color w:val="000000"/>
          <w:kern w:val="0"/>
          <w:sz w:val="32"/>
          <w:szCs w:val="32"/>
          <w:lang w:val="en-US" w:eastAsia="zh-CN" w:bidi="ar"/>
        </w:rPr>
        <w:t>；三是政府信息公开整体工作水平仍需提升。四是工作上缺乏主动性和积极性,政务公开的内容更换不及时。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（二）改进情况</w:t>
      </w:r>
    </w:p>
    <w:p>
      <w:pPr>
        <w:keepNext w:val="0"/>
        <w:keepLines w:val="0"/>
        <w:widowControl/>
        <w:suppressLineNumbers w:val="0"/>
        <w:spacing w:before="0" w:beforeAutospacing="0" w:after="0" w:afterAutospacing="0" w:line="27" w:lineRule="atLeast"/>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荷岭镇</w:t>
      </w:r>
      <w:r>
        <w:rPr>
          <w:rFonts w:hint="eastAsia" w:ascii="仿宋" w:hAnsi="仿宋" w:eastAsia="仿宋" w:cs="仿宋"/>
          <w:sz w:val="32"/>
          <w:szCs w:val="32"/>
        </w:rPr>
        <w:t>政务公开工作今后需要从以下几个方面改进：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是进一步健全和完善政府信息公开制度，规范公开内容，提高公开质量，提升政务信息公开的服务水平，进一步完善和拓展政务信息公开的内容和形式，切实加强信息的收集、整理和发布工作，提高信息的质量和信息的数量；二是加大公开力度，进一步加强对公众关注度高的政府信息的梳理，逐步扩大公开信息的覆盖面，确保公开信息的完整性和准确性；三</w:t>
      </w:r>
      <w:r>
        <w:rPr>
          <w:rFonts w:hint="eastAsia" w:ascii="仿宋" w:hAnsi="仿宋" w:eastAsia="仿宋" w:cs="仿宋"/>
          <w:sz w:val="32"/>
          <w:szCs w:val="32"/>
        </w:rPr>
        <w:t>是增强时效，拓宽渠道</w:t>
      </w:r>
      <w:r>
        <w:rPr>
          <w:rFonts w:hint="eastAsia" w:ascii="仿宋" w:hAnsi="仿宋" w:eastAsia="仿宋" w:cs="仿宋"/>
          <w:sz w:val="32"/>
          <w:szCs w:val="32"/>
          <w:lang w:eastAsia="zh-CN"/>
        </w:rPr>
        <w:t>，</w:t>
      </w:r>
      <w:r>
        <w:rPr>
          <w:rFonts w:hint="eastAsia" w:ascii="仿宋" w:hAnsi="仿宋" w:eastAsia="仿宋" w:cs="仿宋"/>
          <w:sz w:val="32"/>
          <w:szCs w:val="32"/>
        </w:rPr>
        <w:t>不断增强政务信息公开的时效</w:t>
      </w:r>
      <w:r>
        <w:rPr>
          <w:rFonts w:hint="eastAsia" w:ascii="仿宋" w:hAnsi="仿宋" w:eastAsia="仿宋" w:cs="仿宋"/>
          <w:sz w:val="32"/>
          <w:szCs w:val="32"/>
          <w:lang w:eastAsia="zh-CN"/>
        </w:rPr>
        <w:t>性</w:t>
      </w:r>
      <w:r>
        <w:rPr>
          <w:rFonts w:hint="eastAsia" w:ascii="仿宋" w:hAnsi="仿宋" w:eastAsia="仿宋" w:cs="仿宋"/>
          <w:sz w:val="32"/>
          <w:szCs w:val="32"/>
        </w:rPr>
        <w:t>，增加信息的公开数量，拓宽渠道，在内容上更加丰富，广泛，公开更多有效的政务信息</w:t>
      </w:r>
      <w:r>
        <w:rPr>
          <w:rFonts w:hint="eastAsia" w:ascii="仿宋" w:hAnsi="仿宋" w:eastAsia="仿宋" w:cs="仿宋"/>
          <w:color w:val="000000"/>
          <w:kern w:val="0"/>
          <w:sz w:val="32"/>
          <w:szCs w:val="32"/>
          <w:lang w:val="en-US" w:eastAsia="zh-CN" w:bidi="ar"/>
        </w:rPr>
        <w:t>：四是加大监督、检查和考核力度，听取社会各界意见和建议，努力提高我镇工作的透明度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Chars="200" w:right="0" w:rightChars="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六、其他需要报告的事项</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ascii="Times New Roman" w:hAnsi="Times New Roman" w:eastAsia="仿宋_GB2312" w:cs="Times New Roman"/>
          <w:kern w:val="0"/>
          <w:sz w:val="24"/>
          <w:szCs w:val="32"/>
          <w:lang w:val="en-US" w:eastAsia="zh-CN" w:bidi="ar"/>
        </w:rPr>
      </w:pPr>
      <w:r>
        <w:rPr>
          <w:rFonts w:hint="eastAsia" w:ascii="仿宋" w:hAnsi="仿宋" w:eastAsia="仿宋" w:cs="仿宋"/>
          <w:kern w:val="0"/>
          <w:sz w:val="32"/>
          <w:szCs w:val="32"/>
          <w:lang w:val="en-US" w:eastAsia="zh-CN" w:bidi="ar"/>
        </w:rPr>
        <w:t>本年度荷岭镇</w:t>
      </w:r>
      <w:r>
        <w:rPr>
          <w:rFonts w:hint="eastAsia" w:ascii="仿宋" w:hAnsi="仿宋" w:eastAsia="仿宋" w:cs="仿宋"/>
          <w:color w:val="000000"/>
          <w:sz w:val="32"/>
          <w:szCs w:val="32"/>
        </w:rPr>
        <w:t>信息公开工作</w:t>
      </w:r>
      <w:r>
        <w:rPr>
          <w:rFonts w:hint="eastAsia" w:ascii="仿宋" w:hAnsi="仿宋" w:eastAsia="仿宋" w:cs="仿宋"/>
          <w:kern w:val="0"/>
          <w:sz w:val="32"/>
          <w:szCs w:val="32"/>
          <w:lang w:val="en-US" w:eastAsia="zh-CN" w:bidi="ar"/>
        </w:rPr>
        <w:t>无其他需要报告的事项。</w:t>
      </w:r>
    </w:p>
    <w:p>
      <w:pPr>
        <w:keepNext w:val="0"/>
        <w:keepLines w:val="0"/>
        <w:widowControl/>
        <w:numPr>
          <w:ilvl w:val="0"/>
          <w:numId w:val="0"/>
        </w:numPr>
        <w:suppressLineNumbers w:val="0"/>
        <w:spacing w:before="0" w:beforeAutospacing="0" w:after="0" w:afterAutospacing="0" w:line="22" w:lineRule="atLeast"/>
        <w:ind w:left="0" w:right="0" w:rightChars="0" w:firstLine="640" w:firstLineChars="200"/>
        <w:jc w:val="both"/>
        <w:rPr>
          <w:rFonts w:hint="eastAsia" w:ascii="仿宋" w:hAnsi="仿宋" w:eastAsia="仿宋" w:cs="仿宋"/>
          <w:color w:val="000000"/>
          <w:kern w:val="0"/>
          <w:sz w:val="32"/>
          <w:szCs w:val="32"/>
          <w:lang w:val="en-US" w:eastAsia="zh-CN" w:bidi="ar"/>
        </w:rPr>
      </w:pPr>
    </w:p>
    <w:p>
      <w:pPr>
        <w:keepNext w:val="0"/>
        <w:keepLines w:val="0"/>
        <w:widowControl/>
        <w:suppressLineNumbers w:val="0"/>
        <w:spacing w:before="0" w:beforeAutospacing="0" w:after="0" w:afterAutospacing="0" w:line="27" w:lineRule="atLeast"/>
        <w:ind w:left="0" w:right="0" w:firstLine="640" w:firstLineChars="200"/>
        <w:jc w:val="both"/>
        <w:rPr>
          <w:rFonts w:hint="eastAsia" w:ascii="仿宋" w:hAnsi="仿宋" w:eastAsia="仿宋" w:cs="仿宋"/>
          <w:sz w:val="32"/>
          <w:szCs w:val="32"/>
          <w:lang w:val="en-US" w:eastAsia="zh-CN"/>
        </w:rPr>
      </w:pPr>
    </w:p>
    <w:p>
      <w:pPr>
        <w:pStyle w:val="2"/>
        <w:ind w:left="0" w:leftChars="0" w:firstLine="0" w:firstLineChars="0"/>
        <w:rPr>
          <w:rFonts w:hint="eastAsia" w:ascii="黑体" w:hAnsi="黑体" w:eastAsia="黑体" w:cs="黑体"/>
          <w:b w:val="0"/>
          <w:bCs w:val="0"/>
          <w:kern w:val="2"/>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36B94"/>
    <w:multiLevelType w:val="singleLevel"/>
    <w:tmpl w:val="9E236B94"/>
    <w:lvl w:ilvl="0" w:tentative="0">
      <w:start w:val="1"/>
      <w:numFmt w:val="chineseCounting"/>
      <w:suff w:val="nothing"/>
      <w:lvlText w:val="%1、"/>
      <w:lvlJc w:val="left"/>
      <w:rPr>
        <w:rFonts w:hint="eastAsia"/>
      </w:rPr>
    </w:lvl>
  </w:abstractNum>
  <w:abstractNum w:abstractNumId="1">
    <w:nsid w:val="1381CD2F"/>
    <w:multiLevelType w:val="singleLevel"/>
    <w:tmpl w:val="1381CD2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OTlmZWViMDM2MzI5YzMyY2FkOTFjNjhmNzAzNGQifQ=="/>
  </w:docVars>
  <w:rsids>
    <w:rsidRoot w:val="15CE22D1"/>
    <w:rsid w:val="065F0ED5"/>
    <w:rsid w:val="0A753531"/>
    <w:rsid w:val="0CAA5005"/>
    <w:rsid w:val="15CE22D1"/>
    <w:rsid w:val="1DC84D43"/>
    <w:rsid w:val="20EF7CB8"/>
    <w:rsid w:val="249F6B2F"/>
    <w:rsid w:val="482C6361"/>
    <w:rsid w:val="579312A0"/>
    <w:rsid w:val="601A0D86"/>
    <w:rsid w:val="786F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PMingLiU" w:hAnsi="PMingLiU" w:eastAsia="PMingLiU" w:cs="PMingLiU"/>
      <w:kern w:val="0"/>
      <w:sz w:val="46"/>
      <w:szCs w:val="46"/>
      <w:lang w:eastAsia="en-US"/>
    </w:rPr>
  </w:style>
  <w:style w:type="paragraph" w:styleId="4">
    <w:name w:val="footer"/>
    <w:unhideWhenUsed/>
    <w:qFormat/>
    <w:uiPriority w:val="99"/>
    <w:pPr>
      <w:widowControl w:val="0"/>
      <w:tabs>
        <w:tab w:val="center" w:pos="4153"/>
        <w:tab w:val="right" w:pos="8306"/>
      </w:tabs>
      <w:snapToGrid w:val="0"/>
      <w:spacing w:line="240" w:lineRule="atLeast"/>
      <w:ind w:firstLine="200" w:firstLineChars="200"/>
      <w:jc w:val="left"/>
    </w:pPr>
    <w:rPr>
      <w:rFonts w:ascii="Times New Roman" w:hAnsi="Times New Roman" w:eastAsia="仿宋_GB2312" w:cs="Times New Roman"/>
      <w:kern w:val="2"/>
      <w:sz w:val="18"/>
      <w:szCs w:val="18"/>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2300</Words>
  <Characters>2371</Characters>
  <Lines>0</Lines>
  <Paragraphs>0</Paragraphs>
  <TotalTime>4</TotalTime>
  <ScaleCrop>false</ScaleCrop>
  <LinksUpToDate>false</LinksUpToDate>
  <CharactersWithSpaces>2468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2023-01-10T09:10:00Z</dcterms:created>
  <dc:creator>Administrator</dc:creator>
  <cp:lastModifiedBy>Administrator</cp:lastModifiedBy>
  <cp:lastPrinted>2023-01-11T15:02:00Z</cp:lastPrinted>
  <dcterms:modified xsi:type="dcterms:W3CDTF">2023-02-15T03:44:28Z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812A6100236B4F21BFDFE5771E2422BB</vt:lpwstr>
  </property>
</Properties>
</file>